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11"/>
        <w:gridCol w:w="1234"/>
        <w:gridCol w:w="1111"/>
        <w:gridCol w:w="1103"/>
        <w:gridCol w:w="855"/>
        <w:gridCol w:w="691"/>
      </w:tblGrid>
      <w:tr w:rsidR="00FD4C1F" w:rsidRPr="00FD4C1F">
        <w:trPr>
          <w:trHeight w:val="525"/>
          <w:tblCellSpacing w:w="15" w:type="dxa"/>
          <w:jc w:val="center"/>
        </w:trPr>
        <w:tc>
          <w:tcPr>
            <w:tcW w:w="0" w:type="auto"/>
            <w:gridSpan w:val="6"/>
            <w:tcBorders>
              <w:top w:val="single" w:sz="2" w:space="0" w:color="888888"/>
            </w:tcBorders>
            <w:shd w:val="clear" w:color="auto" w:fill="ECEBEB"/>
            <w:vAlign w:val="center"/>
          </w:tcPr>
          <w:p w:rsidR="00F10471" w:rsidRPr="00FD4C1F" w:rsidRDefault="00F10471" w:rsidP="00C51701">
            <w:pPr>
              <w:spacing w:after="0" w:line="240" w:lineRule="auto"/>
              <w:jc w:val="center"/>
              <w:rPr>
                <w:rFonts w:ascii="Arial Narrow" w:hAnsi="Arial Narrow" w:cs="Arial Narrow"/>
                <w:b/>
                <w:bCs/>
                <w:sz w:val="20"/>
                <w:szCs w:val="20"/>
                <w:lang w:eastAsia="tr-TR"/>
              </w:rPr>
            </w:pPr>
            <w:r w:rsidRPr="00FD4C1F">
              <w:rPr>
                <w:rFonts w:ascii="Arial Narrow" w:hAnsi="Arial Narrow" w:cs="Arial Narrow"/>
                <w:b/>
                <w:bCs/>
                <w:sz w:val="20"/>
                <w:szCs w:val="20"/>
                <w:lang w:eastAsia="tr-TR"/>
              </w:rPr>
              <w:t xml:space="preserve">COURSE INFORMATON </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i/>
                <w:iCs/>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i/>
                <w:iCs/>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i/>
                <w:iCs/>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0E29D2">
            <w:pPr>
              <w:spacing w:after="0" w:line="240" w:lineRule="atLeast"/>
              <w:jc w:val="center"/>
              <w:rPr>
                <w:rFonts w:ascii="Verdana" w:hAnsi="Verdana" w:cs="Verdana"/>
                <w:sz w:val="18"/>
                <w:szCs w:val="18"/>
                <w:lang w:eastAsia="tr-TR"/>
              </w:rPr>
            </w:pPr>
            <w:r w:rsidRPr="00FD4C1F">
              <w:rPr>
                <w:rFonts w:ascii="Verdana" w:hAnsi="Verdana" w:cs="Verdana"/>
                <w:i/>
                <w:iCs/>
                <w:sz w:val="18"/>
                <w:szCs w:val="18"/>
                <w:lang w:eastAsia="tr-TR"/>
              </w:rPr>
              <w:t>Cr</w:t>
            </w:r>
            <w:r w:rsidR="000E29D2" w:rsidRPr="00FD4C1F">
              <w:rPr>
                <w:rFonts w:ascii="Verdana" w:hAnsi="Verdana" w:cs="Verdana"/>
                <w:i/>
                <w:iCs/>
                <w:sz w:val="18"/>
                <w:szCs w:val="18"/>
                <w:lang w:eastAsia="tr-TR"/>
              </w:rPr>
              <w:t>e</w:t>
            </w:r>
            <w:r w:rsidRPr="00FD4C1F">
              <w:rPr>
                <w:rFonts w:ascii="Verdana" w:hAnsi="Verdana" w:cs="Verdana"/>
                <w:i/>
                <w:iCs/>
                <w:sz w:val="18"/>
                <w:szCs w:val="18"/>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i/>
                <w:iCs/>
                <w:sz w:val="18"/>
                <w:szCs w:val="18"/>
                <w:lang w:eastAsia="tr-TR"/>
              </w:rPr>
              <w:t>ECTS</w:t>
            </w:r>
          </w:p>
        </w:tc>
      </w:tr>
      <w:tr w:rsidR="003B1CB4" w:rsidRPr="00FD4C1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FD4C1F" w:rsidRDefault="003B1CB4" w:rsidP="004E2274">
            <w:pPr>
              <w:spacing w:after="0" w:line="256" w:lineRule="atLeast"/>
              <w:rPr>
                <w:rFonts w:ascii="Verdana" w:hAnsi="Verdana" w:cs="Verdana"/>
                <w:sz w:val="19"/>
                <w:szCs w:val="19"/>
              </w:rPr>
            </w:pPr>
            <w:r w:rsidRPr="00FD4C1F">
              <w:rPr>
                <w:rFonts w:ascii="Verdana" w:hAnsi="Verdana"/>
              </w:rPr>
              <w:t>Global Business Environment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FD4C1F" w:rsidRDefault="003B1CB4" w:rsidP="004E2274">
            <w:pPr>
              <w:spacing w:after="0" w:line="256" w:lineRule="atLeast"/>
              <w:jc w:val="center"/>
              <w:rPr>
                <w:rFonts w:ascii="Verdana" w:hAnsi="Verdana" w:cs="Verdana"/>
                <w:sz w:val="19"/>
                <w:szCs w:val="19"/>
              </w:rPr>
            </w:pPr>
            <w:r>
              <w:rPr>
                <w:rFonts w:ascii="Verdana" w:hAnsi="Verdana" w:cs="Verdana"/>
                <w:sz w:val="19"/>
                <w:szCs w:val="19"/>
              </w:rPr>
              <w:t>EMBA 503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FD4C1F" w:rsidRDefault="00954287" w:rsidP="004E2274">
            <w:pPr>
              <w:spacing w:after="0" w:line="256" w:lineRule="atLeast"/>
              <w:jc w:val="center"/>
              <w:rPr>
                <w:rFonts w:ascii="Verdana" w:hAnsi="Verdana" w:cs="Verdana"/>
                <w:sz w:val="19"/>
                <w:szCs w:val="19"/>
              </w:rPr>
            </w:pPr>
            <w:r>
              <w:rPr>
                <w:rFonts w:ascii="Verdana" w:hAnsi="Verdana" w:cs="Verdana"/>
                <w:sz w:val="19"/>
                <w:szCs w:val="19"/>
              </w:rPr>
              <w:t>Fall</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660279" w:rsidRDefault="003B1CB4" w:rsidP="006C36FF">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1A02EF" w:rsidRDefault="003B1CB4" w:rsidP="006C36F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660279" w:rsidRDefault="003B1CB4" w:rsidP="006C36FF">
            <w:pPr>
              <w:spacing w:after="0" w:line="256" w:lineRule="atLeast"/>
              <w:jc w:val="center"/>
              <w:rPr>
                <w:rFonts w:ascii="Verdana" w:hAnsi="Verdana" w:cs="Verdana"/>
                <w:color w:val="444444"/>
                <w:sz w:val="19"/>
                <w:szCs w:val="19"/>
              </w:rPr>
            </w:pPr>
            <w:r>
              <w:rPr>
                <w:rFonts w:ascii="Verdana" w:eastAsia="Times New Roman" w:hAnsi="Verdana"/>
                <w:color w:val="444444"/>
                <w:sz w:val="18"/>
                <w:szCs w:val="18"/>
                <w:lang w:eastAsia="tr-TR"/>
              </w:rPr>
              <w:t>9</w:t>
            </w:r>
          </w:p>
        </w:tc>
      </w:tr>
    </w:tbl>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D4C1F" w:rsidRPr="00FD4C1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w:t>
            </w:r>
          </w:p>
        </w:tc>
      </w:tr>
    </w:tbl>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25"/>
        <w:gridCol w:w="30"/>
        <w:gridCol w:w="2911"/>
        <w:gridCol w:w="3497"/>
      </w:tblGrid>
      <w:tr w:rsidR="00FD4C1F" w:rsidRPr="00FD4C1F">
        <w:trPr>
          <w:trHeight w:val="450"/>
          <w:tblCellSpacing w:w="15" w:type="dxa"/>
          <w:jc w:val="center"/>
        </w:trPr>
        <w:tc>
          <w:tcPr>
            <w:tcW w:w="121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Language of Instruction</w:t>
            </w:r>
          </w:p>
        </w:tc>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6B2CA8">
            <w:pPr>
              <w:spacing w:after="0" w:line="240" w:lineRule="atLeast"/>
              <w:rPr>
                <w:rFonts w:ascii="Verdana" w:hAnsi="Verdana" w:cs="Verdana"/>
                <w:sz w:val="18"/>
                <w:szCs w:val="18"/>
                <w:lang w:eastAsia="tr-TR"/>
              </w:rPr>
            </w:pPr>
            <w:r w:rsidRPr="00FD4C1F">
              <w:rPr>
                <w:rFonts w:ascii="Verdana" w:hAnsi="Verdana" w:cs="Verdana"/>
                <w:sz w:val="19"/>
                <w:szCs w:val="19"/>
              </w:rPr>
              <w:t>English</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Course Level</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0E29D2" w:rsidP="00C51701">
            <w:pPr>
              <w:spacing w:after="0" w:line="240" w:lineRule="atLeast"/>
              <w:rPr>
                <w:rFonts w:ascii="Verdana" w:hAnsi="Verdana" w:cs="Verdana"/>
                <w:sz w:val="18"/>
                <w:szCs w:val="18"/>
                <w:lang w:eastAsia="tr-TR"/>
              </w:rPr>
            </w:pPr>
            <w:r w:rsidRPr="00FD4C1F">
              <w:rPr>
                <w:rFonts w:ascii="Verdana" w:hAnsi="Verdana" w:cs="Verdana"/>
                <w:sz w:val="19"/>
                <w:szCs w:val="19"/>
              </w:rPr>
              <w:t>Postgraduate</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Course Type</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9"/>
                <w:szCs w:val="19"/>
              </w:rPr>
              <w:t>Compulsory</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Course Coordinator</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Instructors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EB5F0E">
            <w:pPr>
              <w:spacing w:after="0" w:line="240" w:lineRule="atLeast"/>
              <w:rPr>
                <w:rFonts w:ascii="Verdana" w:hAnsi="Verdana" w:cs="Verdana"/>
                <w:sz w:val="18"/>
                <w:szCs w:val="18"/>
                <w:lang w:eastAsia="tr-TR"/>
              </w:rPr>
            </w:pP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Assistants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9"/>
                <w:szCs w:val="19"/>
                <w:lang w:eastAsia="tr-TR"/>
              </w:rPr>
            </w:pPr>
            <w:r w:rsidRPr="00FD4C1F">
              <w:rPr>
                <w:rFonts w:ascii="Verdana" w:hAnsi="Verdana" w:cs="Verdana"/>
                <w:b/>
                <w:bCs/>
                <w:sz w:val="19"/>
                <w:szCs w:val="19"/>
                <w:lang w:eastAsia="tr-TR"/>
              </w:rPr>
              <w:t>Goals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FD4C1F" w:rsidRDefault="003F43F0" w:rsidP="00EB5F0E">
            <w:pPr>
              <w:jc w:val="both"/>
              <w:rPr>
                <w:rFonts w:ascii="Verdana" w:hAnsi="Verdana"/>
                <w:sz w:val="19"/>
                <w:szCs w:val="19"/>
              </w:rPr>
            </w:pPr>
            <w:r w:rsidRPr="00FD4C1F">
              <w:rPr>
                <w:rFonts w:ascii="Verdana" w:hAnsi="Verdana"/>
                <w:sz w:val="19"/>
                <w:szCs w:val="19"/>
              </w:rPr>
              <w:t>This course is designed to provide graduate students with a sound understanding of the mechanics of doing business abroad and familiarize them with unique problems, characteristics of organizations engaging in international business and global economics.</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Content</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EB5F0E" w:rsidRPr="00FD4C1F" w:rsidRDefault="00EB5F0E" w:rsidP="00EB5F0E">
            <w:pPr>
              <w:jc w:val="both"/>
              <w:rPr>
                <w:rFonts w:ascii="Verdana" w:hAnsi="Verdana" w:cs="Verdana"/>
                <w:sz w:val="19"/>
                <w:szCs w:val="19"/>
              </w:rPr>
            </w:pPr>
            <w:r w:rsidRPr="00FD4C1F">
              <w:rPr>
                <w:rFonts w:ascii="Verdana" w:hAnsi="Verdana"/>
                <w:sz w:val="19"/>
                <w:szCs w:val="19"/>
              </w:rPr>
              <w:t>This course considers to develop skills and competencies  in understanding the international corporation and the global political and economic environment; historical origins of the multinational corporation; the economics of trade; money and investment in the world economy; and the policies and behavior of governments and international organizations; creation of competitive advantage in a multinational firm; dynamics of global competition; types of international strategy and structure; strategic allocation of resources along the value chain and the role of strategic alliances as a crucial element of an effective global strategy.</w:t>
            </w:r>
          </w:p>
        </w:tc>
      </w:tr>
      <w:tr w:rsidR="00FD4C1F" w:rsidRPr="00FD4C1F">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Assessment Methods</w:t>
            </w:r>
          </w:p>
        </w:tc>
      </w:tr>
      <w:tr w:rsidR="00FD4C1F" w:rsidRPr="00FD4C1F">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FD4C1F" w:rsidRDefault="00F10471" w:rsidP="00EB34B0">
            <w:pPr>
              <w:spacing w:after="0" w:line="256" w:lineRule="atLeast"/>
              <w:rPr>
                <w:rFonts w:ascii="Verdana" w:hAnsi="Verdana" w:cs="Verdana"/>
                <w:sz w:val="19"/>
                <w:szCs w:val="19"/>
              </w:rPr>
            </w:pPr>
            <w:r w:rsidRPr="00FD4C1F">
              <w:rPr>
                <w:rFonts w:ascii="Verdana" w:hAnsi="Verdana" w:cs="Verdana"/>
                <w:sz w:val="19"/>
                <w:szCs w:val="19"/>
              </w:rPr>
              <w:t xml:space="preserve">1) </w:t>
            </w:r>
            <w:r w:rsidR="00EB34B0" w:rsidRPr="00FD4C1F">
              <w:rPr>
                <w:rFonts w:ascii="Verdana" w:hAnsi="Verdana" w:cs="Verdana"/>
                <w:sz w:val="19"/>
                <w:szCs w:val="19"/>
              </w:rPr>
              <w:t>Develop understanding about what is involved in making marketing decisions, including</w:t>
            </w:r>
          </w:p>
          <w:p w:rsidR="00F10471" w:rsidRPr="00FD4C1F" w:rsidRDefault="00EB34B0" w:rsidP="00EB34B0">
            <w:pPr>
              <w:spacing w:after="0" w:line="256" w:lineRule="atLeast"/>
              <w:rPr>
                <w:rFonts w:ascii="Verdana" w:hAnsi="Verdana" w:cs="Verdana"/>
                <w:sz w:val="19"/>
                <w:szCs w:val="19"/>
              </w:rPr>
            </w:pPr>
            <w:r w:rsidRPr="00FD4C1F">
              <w:rPr>
                <w:rFonts w:ascii="Verdana" w:hAnsi="Verdana" w:cs="Verdana"/>
                <w:sz w:val="19"/>
                <w:szCs w:val="19"/>
              </w:rPr>
              <w:t xml:space="preserve">product, price, promotion, and place decisions to create a marketing mix.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A,B,C</w:t>
            </w:r>
          </w:p>
        </w:tc>
      </w:tr>
      <w:tr w:rsidR="00FD4C1F" w:rsidRPr="00FD4C1F">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196253">
            <w:pPr>
              <w:spacing w:after="0" w:line="256" w:lineRule="atLeast"/>
              <w:rPr>
                <w:rFonts w:ascii="Verdana" w:hAnsi="Verdana" w:cs="Verdana"/>
                <w:sz w:val="19"/>
                <w:szCs w:val="19"/>
              </w:rPr>
            </w:pPr>
            <w:r w:rsidRPr="00FD4C1F">
              <w:rPr>
                <w:rFonts w:ascii="Verdana" w:hAnsi="Verdana" w:cs="Verdana"/>
                <w:sz w:val="19"/>
                <w:szCs w:val="19"/>
              </w:rPr>
              <w:t>2)</w:t>
            </w:r>
            <w:r w:rsidR="005D1C82" w:rsidRPr="00FD4C1F">
              <w:rPr>
                <w:rFonts w:ascii="Verdana" w:hAnsi="Verdana" w:cs="Verdana"/>
                <w:sz w:val="19"/>
                <w:szCs w:val="19"/>
              </w:rPr>
              <w:t xml:space="preserve"> D</w:t>
            </w:r>
            <w:r w:rsidR="00487E27" w:rsidRPr="00FD4C1F">
              <w:rPr>
                <w:rFonts w:ascii="Verdana" w:hAnsi="Verdana" w:cs="Verdana"/>
                <w:sz w:val="19"/>
                <w:szCs w:val="19"/>
              </w:rPr>
              <w:t xml:space="preserve">emonstrate deeper </w:t>
            </w:r>
            <w:r w:rsidR="00196253" w:rsidRPr="00FD4C1F">
              <w:rPr>
                <w:rFonts w:ascii="Verdana" w:hAnsi="Verdana" w:cs="Verdana"/>
                <w:sz w:val="19"/>
                <w:szCs w:val="19"/>
              </w:rPr>
              <w:t xml:space="preserve">methodological </w:t>
            </w:r>
            <w:r w:rsidR="00487E27" w:rsidRPr="00FD4C1F">
              <w:rPr>
                <w:rFonts w:ascii="Verdana" w:hAnsi="Verdana" w:cs="Verdana"/>
                <w:sz w:val="19"/>
                <w:szCs w:val="19"/>
              </w:rPr>
              <w:lastRenderedPageBreak/>
              <w:t xml:space="preserve">knowledge necessary for </w:t>
            </w:r>
            <w:r w:rsidR="00196253" w:rsidRPr="00FD4C1F">
              <w:rPr>
                <w:rFonts w:ascii="Verdana" w:hAnsi="Verdana" w:cs="Verdana"/>
                <w:sz w:val="19"/>
                <w:szCs w:val="19"/>
              </w:rPr>
              <w:t xml:space="preserve">gaining marketing and competitive intelligence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lastRenderedPageBreak/>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A,B,C</w:t>
            </w:r>
          </w:p>
        </w:tc>
      </w:tr>
      <w:tr w:rsidR="00FD4C1F" w:rsidRPr="00FD4C1F">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EB34B0" w:rsidRPr="00FD4C1F" w:rsidRDefault="00F10471" w:rsidP="00EB34B0">
            <w:pPr>
              <w:spacing w:after="0" w:line="256" w:lineRule="atLeast"/>
              <w:rPr>
                <w:rFonts w:ascii="Verdana" w:hAnsi="Verdana" w:cs="Verdana"/>
                <w:sz w:val="19"/>
                <w:szCs w:val="19"/>
              </w:rPr>
            </w:pPr>
            <w:r w:rsidRPr="00FD4C1F">
              <w:rPr>
                <w:rFonts w:ascii="Verdana" w:hAnsi="Verdana" w:cs="Verdana"/>
                <w:sz w:val="19"/>
                <w:szCs w:val="19"/>
              </w:rPr>
              <w:lastRenderedPageBreak/>
              <w:t xml:space="preserve">3) </w:t>
            </w:r>
            <w:r w:rsidR="00EB34B0" w:rsidRPr="00FD4C1F">
              <w:rPr>
                <w:rFonts w:ascii="Verdana" w:hAnsi="Verdana" w:cs="Verdana"/>
                <w:sz w:val="19"/>
                <w:szCs w:val="19"/>
              </w:rPr>
              <w:t>Develop strategic thinking in the context</w:t>
            </w:r>
          </w:p>
          <w:p w:rsidR="00F10471" w:rsidRPr="00FD4C1F" w:rsidRDefault="00EB34B0" w:rsidP="00EB34B0">
            <w:pPr>
              <w:spacing w:after="0" w:line="256" w:lineRule="atLeast"/>
              <w:rPr>
                <w:rFonts w:ascii="Verdana" w:hAnsi="Verdana" w:cs="Verdana"/>
                <w:sz w:val="19"/>
                <w:szCs w:val="19"/>
              </w:rPr>
            </w:pPr>
            <w:r w:rsidRPr="00FD4C1F">
              <w:rPr>
                <w:rFonts w:ascii="Verdana" w:hAnsi="Verdana" w:cs="Verdana"/>
                <w:sz w:val="19"/>
                <w:szCs w:val="19"/>
              </w:rPr>
              <w:t>of complex problems and challenges faced by the marketing executives and brand managers.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A,B,C</w:t>
            </w:r>
          </w:p>
        </w:tc>
      </w:tr>
      <w:tr w:rsidR="00FD4C1F" w:rsidRPr="00FD4C1F">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EB34B0">
            <w:pPr>
              <w:rPr>
                <w:rFonts w:ascii="Verdana" w:hAnsi="Verdana" w:cs="Verdana"/>
                <w:sz w:val="19"/>
                <w:szCs w:val="19"/>
              </w:rPr>
            </w:pPr>
            <w:r w:rsidRPr="00FD4C1F">
              <w:rPr>
                <w:rFonts w:ascii="Verdana" w:hAnsi="Verdana" w:cs="Verdana"/>
                <w:sz w:val="19"/>
                <w:szCs w:val="19"/>
              </w:rPr>
              <w:t xml:space="preserve">4) </w:t>
            </w:r>
            <w:r w:rsidR="00EB34B0" w:rsidRPr="00FD4C1F">
              <w:rPr>
                <w:rFonts w:ascii="Verdana" w:hAnsi="Verdana" w:cs="Verdana"/>
                <w:sz w:val="19"/>
                <w:szCs w:val="19"/>
              </w:rPr>
              <w:t>Develop ability to integrate the important societal dimensions of diversity, environmental concerns, ethics, and technological change into marketing thinking</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jc w:val="center"/>
              <w:rPr>
                <w:rFonts w:ascii="Verdana" w:hAnsi="Verdana" w:cs="Verdana"/>
                <w:sz w:val="19"/>
                <w:szCs w:val="19"/>
              </w:rPr>
            </w:pPr>
            <w:r w:rsidRPr="00FD4C1F">
              <w:rPr>
                <w:rFonts w:ascii="Verdana" w:hAnsi="Verdana" w:cs="Verdana"/>
                <w:sz w:val="19"/>
                <w:szCs w:val="19"/>
              </w:rPr>
              <w:t>A,B,C</w:t>
            </w:r>
          </w:p>
        </w:tc>
      </w:tr>
    </w:tbl>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D4C1F" w:rsidRPr="00FD4C1F">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9"/>
                <w:szCs w:val="19"/>
              </w:rPr>
              <w:t>1: Lecture, 2: Question-Answer, 3: Discussion</w:t>
            </w:r>
          </w:p>
        </w:tc>
      </w:tr>
      <w:tr w:rsidR="00FD4C1F" w:rsidRPr="00FD4C1F">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9"/>
                <w:szCs w:val="19"/>
              </w:rPr>
              <w:t>A: Exam , B: Assignment, C: Student Presentations</w:t>
            </w:r>
          </w:p>
        </w:tc>
      </w:tr>
    </w:tbl>
    <w:p w:rsidR="00F10471" w:rsidRPr="00FD4C1F" w:rsidRDefault="00F10471" w:rsidP="00C51701">
      <w:pPr>
        <w:shd w:val="clear" w:color="auto" w:fill="FFFFFF"/>
        <w:spacing w:after="0" w:line="240" w:lineRule="auto"/>
        <w:rPr>
          <w:sz w:val="20"/>
          <w:szCs w:val="20"/>
          <w:lang w:eastAsia="tr-TR"/>
        </w:rPr>
      </w:pPr>
    </w:p>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60"/>
        <w:gridCol w:w="6201"/>
        <w:gridCol w:w="1802"/>
      </w:tblGrid>
      <w:tr w:rsidR="00FD4C1F" w:rsidRPr="00FD4C1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COURSE CONTENT</w:t>
            </w:r>
          </w:p>
        </w:tc>
      </w:tr>
      <w:tr w:rsidR="00FD4C1F" w:rsidRPr="00FD4C1F" w:rsidTr="003F43F0">
        <w:trPr>
          <w:trHeight w:val="450"/>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F25"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Hours</w:t>
            </w:r>
            <w:r w:rsidR="00396B36" w:rsidRPr="00FD4C1F">
              <w:rPr>
                <w:rFonts w:ascii="Verdana" w:hAnsi="Verdana" w:cs="Verdana"/>
                <w:b/>
                <w:bCs/>
                <w:sz w:val="18"/>
                <w:szCs w:val="18"/>
                <w:lang w:eastAsia="tr-TR"/>
              </w:rPr>
              <w:t xml:space="preserve"> </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Topics</w:t>
            </w:r>
          </w:p>
        </w:tc>
        <w:tc>
          <w:tcPr>
            <w:tcW w:w="99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Study Materials</w:t>
            </w: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F25"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0.5</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EB34B0" w:rsidP="004E2274">
            <w:pPr>
              <w:spacing w:after="0" w:line="256" w:lineRule="atLeast"/>
              <w:rPr>
                <w:rFonts w:ascii="Verdana" w:hAnsi="Verdana" w:cs="Verdana"/>
                <w:sz w:val="19"/>
                <w:szCs w:val="19"/>
              </w:rPr>
            </w:pPr>
            <w:r w:rsidRPr="00FD4C1F">
              <w:rPr>
                <w:rFonts w:ascii="Verdana" w:hAnsi="Verdana" w:cs="Verdana"/>
                <w:sz w:val="19"/>
                <w:szCs w:val="19"/>
              </w:rPr>
              <w:t>Introduction and course description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3F43F0" w:rsidP="003F43F0">
            <w:pPr>
              <w:spacing w:after="0" w:line="256" w:lineRule="atLeast"/>
              <w:rPr>
                <w:rFonts w:ascii="Verdana" w:hAnsi="Verdana" w:cs="Verdana"/>
                <w:sz w:val="19"/>
                <w:szCs w:val="19"/>
              </w:rPr>
            </w:pPr>
            <w:r w:rsidRPr="00FD4C1F">
              <w:rPr>
                <w:rFonts w:ascii="Verdana" w:hAnsi="Verdana"/>
                <w:sz w:val="19"/>
                <w:szCs w:val="19"/>
              </w:rPr>
              <w:t>Globalization, International Business and Society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F25"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2.5</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3F43F0" w:rsidP="004E2274">
            <w:pPr>
              <w:spacing w:after="0" w:line="256" w:lineRule="atLeast"/>
              <w:rPr>
                <w:rFonts w:ascii="Verdana" w:hAnsi="Verdana" w:cs="Verdana"/>
                <w:sz w:val="19"/>
                <w:szCs w:val="19"/>
              </w:rPr>
            </w:pPr>
            <w:r w:rsidRPr="00FD4C1F">
              <w:rPr>
                <w:rFonts w:ascii="Verdana" w:hAnsi="Verdana" w:cs="Verdana"/>
                <w:sz w:val="19"/>
                <w:szCs w:val="19"/>
              </w:rPr>
              <w:t>Growth: Long-Run Economic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291"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FD4C1F" w:rsidRDefault="003F43F0" w:rsidP="004E2274">
            <w:pPr>
              <w:spacing w:after="0" w:line="256" w:lineRule="atLeast"/>
              <w:rPr>
                <w:rFonts w:ascii="Verdana" w:hAnsi="Verdana" w:cs="Verdana"/>
                <w:sz w:val="19"/>
                <w:szCs w:val="19"/>
              </w:rPr>
            </w:pPr>
            <w:r w:rsidRPr="00FD4C1F">
              <w:rPr>
                <w:rFonts w:ascii="Verdana" w:hAnsi="Verdana"/>
                <w:sz w:val="19"/>
                <w:szCs w:val="19"/>
              </w:rPr>
              <w:t>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291"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3F43F0" w:rsidP="004E2274">
            <w:pPr>
              <w:spacing w:after="0" w:line="256" w:lineRule="atLeast"/>
              <w:rPr>
                <w:rFonts w:ascii="Verdana" w:hAnsi="Verdana" w:cs="Verdana"/>
                <w:sz w:val="19"/>
                <w:szCs w:val="19"/>
              </w:rPr>
            </w:pPr>
            <w:r w:rsidRPr="00FD4C1F">
              <w:rPr>
                <w:rFonts w:ascii="Verdana" w:hAnsi="Verdana" w:cs="Verdana"/>
                <w:sz w:val="19"/>
                <w:szCs w:val="19"/>
              </w:rPr>
              <w:t>Business Cycles: Short-Term Economic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F25"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FD4C1F" w:rsidRDefault="003F43F0" w:rsidP="003F43F0">
            <w:pPr>
              <w:spacing w:after="0" w:line="256" w:lineRule="atLeast"/>
              <w:rPr>
                <w:rFonts w:ascii="Verdana" w:hAnsi="Verdana" w:cs="Verdana"/>
                <w:sz w:val="19"/>
                <w:szCs w:val="19"/>
              </w:rPr>
            </w:pPr>
            <w:r w:rsidRPr="00FD4C1F">
              <w:rPr>
                <w:rFonts w:ascii="Verdana" w:hAnsi="Verdana" w:cs="Verdana"/>
                <w:sz w:val="19"/>
                <w:szCs w:val="19"/>
              </w:rPr>
              <w:t>Exchange Rates and International Capital Flows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6D244F"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3F43F0" w:rsidP="001E7869">
            <w:pPr>
              <w:spacing w:after="0" w:line="256" w:lineRule="atLeast"/>
              <w:rPr>
                <w:rFonts w:ascii="Verdana" w:hAnsi="Verdana" w:cs="Verdana"/>
                <w:sz w:val="19"/>
                <w:szCs w:val="19"/>
              </w:rPr>
            </w:pPr>
            <w:r w:rsidRPr="00FD4C1F">
              <w:rPr>
                <w:rFonts w:ascii="Verdana" w:hAnsi="Verdana"/>
                <w:sz w:val="19"/>
                <w:szCs w:val="19"/>
              </w:rPr>
              <w:t>The Cultural Environments Facing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1E7869" w:rsidRPr="00FD4C1F" w:rsidRDefault="006D244F"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1E7869" w:rsidRPr="00FD4C1F" w:rsidRDefault="003F43F0" w:rsidP="006D244F">
            <w:pPr>
              <w:spacing w:after="0" w:line="256" w:lineRule="atLeast"/>
              <w:rPr>
                <w:rFonts w:ascii="Verdana" w:hAnsi="Verdana" w:cs="Verdana"/>
                <w:sz w:val="19"/>
                <w:szCs w:val="19"/>
              </w:rPr>
            </w:pPr>
            <w:r w:rsidRPr="00FD4C1F">
              <w:rPr>
                <w:rFonts w:ascii="Verdana" w:hAnsi="Verdana"/>
                <w:sz w:val="19"/>
                <w:szCs w:val="19"/>
              </w:rPr>
              <w:t>The Political and Legal Environments Facing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FD4C1F" w:rsidRDefault="001E7869" w:rsidP="004E2274">
            <w:pPr>
              <w:spacing w:after="0" w:line="256" w:lineRule="atLeast"/>
              <w:rPr>
                <w:rFonts w:ascii="Verdana" w:hAnsi="Verdana" w:cs="Verdana"/>
                <w:sz w:val="19"/>
                <w:szCs w:val="19"/>
              </w:rPr>
            </w:pPr>
          </w:p>
        </w:tc>
      </w:tr>
      <w:tr w:rsidR="00FD4C1F" w:rsidRPr="00FD4C1F"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1E7869" w:rsidRPr="00FD4C1F" w:rsidRDefault="006D244F"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6D244F" w:rsidRPr="00FD4C1F" w:rsidRDefault="003F43F0" w:rsidP="006D244F">
            <w:pPr>
              <w:spacing w:after="0" w:line="256" w:lineRule="atLeast"/>
              <w:rPr>
                <w:rFonts w:ascii="Verdana" w:hAnsi="Verdana" w:cs="Verdana"/>
                <w:sz w:val="19"/>
                <w:szCs w:val="19"/>
              </w:rPr>
            </w:pPr>
            <w:r w:rsidRPr="00FD4C1F">
              <w:rPr>
                <w:rFonts w:ascii="Verdana" w:hAnsi="Verdana"/>
                <w:sz w:val="19"/>
                <w:szCs w:val="19"/>
              </w:rPr>
              <w:t>The Economic Environments Facing Businesses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7869" w:rsidRPr="00FD4C1F" w:rsidRDefault="001E7869" w:rsidP="004E2274">
            <w:pPr>
              <w:spacing w:after="0" w:line="256" w:lineRule="atLeast"/>
              <w:rPr>
                <w:rFonts w:ascii="Verdana" w:hAnsi="Verdana" w:cs="Verdana"/>
                <w:sz w:val="19"/>
                <w:szCs w:val="19"/>
              </w:rPr>
            </w:pPr>
          </w:p>
        </w:tc>
      </w:tr>
      <w:tr w:rsidR="00FD4C1F" w:rsidRPr="00FD4C1F"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6D244F" w:rsidRPr="00FD4C1F" w:rsidRDefault="00562291"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6D244F" w:rsidRPr="00FD4C1F" w:rsidRDefault="003F43F0" w:rsidP="006D244F">
            <w:pPr>
              <w:spacing w:after="0" w:line="256" w:lineRule="atLeast"/>
              <w:rPr>
                <w:rFonts w:ascii="Verdana" w:hAnsi="Verdana" w:cs="Verdana"/>
                <w:sz w:val="19"/>
                <w:szCs w:val="19"/>
              </w:rPr>
            </w:pPr>
            <w:r w:rsidRPr="00FD4C1F">
              <w:rPr>
                <w:rFonts w:ascii="Verdana" w:hAnsi="Verdana"/>
                <w:sz w:val="19"/>
                <w:szCs w:val="19"/>
              </w:rPr>
              <w:t>Governmental Influence on Trade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6D244F" w:rsidRPr="00FD4C1F" w:rsidRDefault="006D244F" w:rsidP="004E2274">
            <w:pPr>
              <w:spacing w:after="0" w:line="256" w:lineRule="atLeast"/>
              <w:rPr>
                <w:rFonts w:ascii="Verdana" w:hAnsi="Verdana" w:cs="Verdana"/>
                <w:sz w:val="19"/>
                <w:szCs w:val="19"/>
              </w:rPr>
            </w:pPr>
          </w:p>
        </w:tc>
      </w:tr>
      <w:tr w:rsidR="00FD4C1F" w:rsidRPr="00FD4C1F"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562F25" w:rsidRPr="00FD4C1F" w:rsidRDefault="00130050" w:rsidP="00396B36">
            <w:pPr>
              <w:spacing w:after="0" w:line="240" w:lineRule="atLeast"/>
              <w:rPr>
                <w:rFonts w:ascii="Verdana" w:hAnsi="Verdana" w:cs="Verdana"/>
                <w:sz w:val="18"/>
                <w:szCs w:val="18"/>
                <w:lang w:eastAsia="tr-TR"/>
              </w:rPr>
            </w:pPr>
            <w:r>
              <w:rPr>
                <w:rFonts w:ascii="Verdana" w:hAnsi="Verdana" w:cs="Verdana"/>
                <w:sz w:val="18"/>
                <w:szCs w:val="18"/>
                <w:lang w:eastAsia="tr-TR"/>
              </w:rPr>
              <w:t>3</w:t>
            </w:r>
            <w:r w:rsidR="00562291" w:rsidRPr="00FD4C1F">
              <w:rPr>
                <w:rFonts w:ascii="Verdana" w:hAnsi="Verdana" w:cs="Verdana"/>
                <w:sz w:val="18"/>
                <w:szCs w:val="18"/>
                <w:lang w:eastAsia="tr-TR"/>
              </w:rPr>
              <w:t xml:space="preserve">           </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562F25" w:rsidRPr="00FD4C1F" w:rsidRDefault="00562291" w:rsidP="004E2274">
            <w:pPr>
              <w:spacing w:after="0" w:line="256" w:lineRule="atLeast"/>
              <w:rPr>
                <w:rFonts w:ascii="Verdana" w:hAnsi="Verdana" w:cs="Verdana"/>
                <w:sz w:val="19"/>
                <w:szCs w:val="19"/>
              </w:rPr>
            </w:pPr>
            <w:r w:rsidRPr="00FD4C1F">
              <w:rPr>
                <w:rFonts w:ascii="Verdana" w:hAnsi="Verdana" w:cs="Verdana"/>
                <w:sz w:val="19"/>
                <w:szCs w:val="19"/>
              </w:rPr>
              <w:t>Mid 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562F25" w:rsidRPr="00FD4C1F" w:rsidRDefault="00562F25" w:rsidP="004E2274">
            <w:pPr>
              <w:spacing w:after="0" w:line="256" w:lineRule="atLeast"/>
              <w:rPr>
                <w:rFonts w:ascii="Verdana" w:hAnsi="Verdana" w:cs="Verdana"/>
                <w:sz w:val="19"/>
                <w:szCs w:val="19"/>
              </w:rPr>
            </w:pPr>
          </w:p>
        </w:tc>
      </w:tr>
      <w:tr w:rsidR="00FD4C1F" w:rsidRPr="00FD4C1F" w:rsidTr="003F43F0">
        <w:trPr>
          <w:trHeight w:val="346"/>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736170"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FD4C1F" w:rsidRDefault="003F43F0" w:rsidP="00736170">
            <w:pPr>
              <w:spacing w:after="0" w:line="256" w:lineRule="atLeast"/>
              <w:rPr>
                <w:rFonts w:ascii="Verdana" w:hAnsi="Verdana" w:cs="Verdana"/>
                <w:sz w:val="19"/>
                <w:szCs w:val="19"/>
              </w:rPr>
            </w:pPr>
            <w:r w:rsidRPr="00FD4C1F">
              <w:rPr>
                <w:rFonts w:ascii="Verdana" w:hAnsi="Verdana"/>
                <w:sz w:val="19"/>
                <w:szCs w:val="19"/>
              </w:rPr>
              <w:t>Cross-National Cooperation and Agreements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CE5FFA"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lastRenderedPageBreak/>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FD4C1F" w:rsidRDefault="003F43F0" w:rsidP="003F43F0">
            <w:pPr>
              <w:spacing w:after="0" w:line="256" w:lineRule="atLeast"/>
              <w:rPr>
                <w:rFonts w:ascii="Verdana" w:hAnsi="Verdana" w:cs="Verdana"/>
                <w:sz w:val="19"/>
                <w:szCs w:val="19"/>
              </w:rPr>
            </w:pPr>
            <w:r w:rsidRPr="00FD4C1F">
              <w:rPr>
                <w:rFonts w:ascii="Verdana" w:hAnsi="Verdana"/>
                <w:sz w:val="19"/>
                <w:szCs w:val="19"/>
              </w:rPr>
              <w:t>Modes of International Business (Global Strategy, Structure, and Implementation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810C80" w:rsidRPr="00FD4C1F" w:rsidRDefault="00810C80"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810C80" w:rsidRPr="00FD4C1F" w:rsidRDefault="003F43F0" w:rsidP="00736170">
            <w:pPr>
              <w:spacing w:after="0" w:line="256" w:lineRule="atLeast"/>
              <w:rPr>
                <w:rFonts w:ascii="Verdana" w:hAnsi="Verdana" w:cs="Verdana"/>
                <w:sz w:val="19"/>
                <w:szCs w:val="19"/>
              </w:rPr>
            </w:pPr>
            <w:r w:rsidRPr="00FD4C1F">
              <w:rPr>
                <w:rFonts w:ascii="Verdana" w:hAnsi="Verdana"/>
                <w:sz w:val="19"/>
                <w:szCs w:val="19"/>
              </w:rPr>
              <w:t>Marketing Globally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810C80" w:rsidRPr="00FD4C1F" w:rsidRDefault="00810C80"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562F25" w:rsidP="00396B36">
            <w:pPr>
              <w:spacing w:after="0" w:line="240" w:lineRule="atLeast"/>
              <w:rPr>
                <w:rFonts w:ascii="Verdana" w:hAnsi="Verdana" w:cs="Verdana"/>
                <w:sz w:val="18"/>
                <w:szCs w:val="18"/>
                <w:lang w:eastAsia="tr-TR"/>
              </w:rPr>
            </w:pPr>
            <w:r w:rsidRPr="00FD4C1F">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EB34B0" w:rsidRPr="00FD4C1F" w:rsidRDefault="003F43F0" w:rsidP="00810C80">
            <w:pPr>
              <w:spacing w:after="0" w:line="256" w:lineRule="atLeast"/>
              <w:rPr>
                <w:rFonts w:ascii="Verdana" w:hAnsi="Verdana" w:cs="Verdana"/>
                <w:sz w:val="19"/>
                <w:szCs w:val="19"/>
              </w:rPr>
            </w:pPr>
            <w:r w:rsidRPr="00FD4C1F">
              <w:rPr>
                <w:rFonts w:ascii="Verdana" w:hAnsi="Verdana"/>
                <w:sz w:val="19"/>
                <w:szCs w:val="19"/>
              </w:rPr>
              <w:t>Global Human Resource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130050" w:rsidP="00396B36">
            <w:pPr>
              <w:spacing w:after="0" w:line="240" w:lineRule="atLeast"/>
              <w:rPr>
                <w:rFonts w:ascii="Verdana" w:hAnsi="Verdana" w:cs="Verdana"/>
                <w:sz w:val="18"/>
                <w:szCs w:val="18"/>
                <w:lang w:eastAsia="tr-TR"/>
              </w:rPr>
            </w:pPr>
            <w:r>
              <w:rPr>
                <w:rFonts w:ascii="Verdana" w:hAnsi="Verdana" w:cs="Verdana"/>
                <w:sz w:val="18"/>
                <w:szCs w:val="18"/>
                <w:lang w:eastAsia="tr-TR"/>
              </w:rPr>
              <w:t>2</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833558" w:rsidRPr="00FD4C1F" w:rsidRDefault="003F43F0" w:rsidP="00C900CA">
            <w:pPr>
              <w:spacing w:after="0" w:line="256" w:lineRule="atLeast"/>
              <w:rPr>
                <w:rFonts w:ascii="Verdana" w:hAnsi="Verdana" w:cs="Verdana"/>
                <w:sz w:val="19"/>
                <w:szCs w:val="19"/>
              </w:rPr>
            </w:pPr>
            <w:r w:rsidRPr="00FD4C1F">
              <w:rPr>
                <w:rFonts w:ascii="Verdana" w:hAnsi="Verdana" w:cs="Verdana"/>
                <w:sz w:val="19"/>
                <w:szCs w:val="19"/>
              </w:rPr>
              <w:t>Ethics and Social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130050" w:rsidP="00396B36">
            <w:pPr>
              <w:spacing w:after="0" w:line="240" w:lineRule="atLeast"/>
              <w:rPr>
                <w:rFonts w:ascii="Verdana" w:hAnsi="Verdana" w:cs="Verdana"/>
                <w:sz w:val="18"/>
                <w:szCs w:val="18"/>
                <w:lang w:eastAsia="tr-TR"/>
              </w:rPr>
            </w:pPr>
            <w:r>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r w:rsidRPr="00FD4C1F">
              <w:rPr>
                <w:rFonts w:ascii="Verdana" w:hAnsi="Verdana" w:cs="Verdana"/>
                <w:sz w:val="19"/>
                <w:szCs w:val="19"/>
              </w:rPr>
              <w:t>STUDENT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4E2274">
            <w:pPr>
              <w:spacing w:after="0" w:line="256" w:lineRule="atLeast"/>
              <w:rPr>
                <w:rFonts w:ascii="Verdana" w:hAnsi="Verdana" w:cs="Verdana"/>
                <w:sz w:val="19"/>
                <w:szCs w:val="19"/>
              </w:rPr>
            </w:pPr>
          </w:p>
        </w:tc>
      </w:tr>
      <w:tr w:rsidR="00FD4C1F" w:rsidRPr="00FD4C1F" w:rsidTr="003F43F0">
        <w:trPr>
          <w:trHeight w:val="375"/>
          <w:tblCellSpacing w:w="15" w:type="dxa"/>
          <w:jc w:val="center"/>
        </w:trPr>
        <w:tc>
          <w:tcPr>
            <w:tcW w:w="460" w:type="pct"/>
            <w:tcBorders>
              <w:bottom w:val="single" w:sz="6" w:space="0" w:color="CCCCCC"/>
            </w:tcBorders>
            <w:shd w:val="clear" w:color="auto" w:fill="FFFFFF"/>
            <w:tcMar>
              <w:top w:w="15" w:type="dxa"/>
              <w:left w:w="75" w:type="dxa"/>
              <w:bottom w:w="15" w:type="dxa"/>
              <w:right w:w="15" w:type="dxa"/>
            </w:tcMar>
            <w:vAlign w:val="center"/>
          </w:tcPr>
          <w:p w:rsidR="00704E0E" w:rsidRPr="00FD4C1F" w:rsidRDefault="00130050" w:rsidP="002A6A09">
            <w:pPr>
              <w:spacing w:after="0" w:line="240" w:lineRule="atLeast"/>
              <w:rPr>
                <w:rFonts w:ascii="Verdana" w:hAnsi="Verdana" w:cs="Verdana"/>
                <w:sz w:val="18"/>
                <w:szCs w:val="18"/>
                <w:lang w:eastAsia="tr-TR"/>
              </w:rPr>
            </w:pPr>
            <w:r>
              <w:rPr>
                <w:rFonts w:ascii="Verdana" w:hAnsi="Verdana" w:cs="Verdana"/>
                <w:sz w:val="18"/>
                <w:szCs w:val="18"/>
                <w:lang w:eastAsia="tr-TR"/>
              </w:rPr>
              <w:t>3</w:t>
            </w:r>
          </w:p>
        </w:tc>
        <w:tc>
          <w:tcPr>
            <w:tcW w:w="3481" w:type="pct"/>
            <w:tcBorders>
              <w:bottom w:val="single" w:sz="6" w:space="0" w:color="CCCCCC"/>
            </w:tcBorders>
            <w:shd w:val="clear" w:color="auto" w:fill="FFFFFF"/>
            <w:tcMar>
              <w:top w:w="15" w:type="dxa"/>
              <w:left w:w="75" w:type="dxa"/>
              <w:bottom w:w="15" w:type="dxa"/>
              <w:right w:w="15" w:type="dxa"/>
            </w:tcMar>
            <w:vAlign w:val="center"/>
          </w:tcPr>
          <w:p w:rsidR="00704E0E" w:rsidRPr="00FD4C1F" w:rsidRDefault="00704E0E" w:rsidP="002A6A09">
            <w:pPr>
              <w:spacing w:after="0" w:line="256" w:lineRule="atLeast"/>
              <w:rPr>
                <w:rFonts w:ascii="Verdana" w:hAnsi="Verdana" w:cs="Verdana"/>
                <w:sz w:val="19"/>
                <w:szCs w:val="19"/>
              </w:rPr>
            </w:pPr>
            <w:r w:rsidRPr="00FD4C1F">
              <w:rPr>
                <w:rFonts w:ascii="Verdana" w:hAnsi="Verdana" w:cs="Verdana"/>
                <w:sz w:val="19"/>
                <w:szCs w:val="19"/>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04E0E" w:rsidRPr="00FD4C1F" w:rsidRDefault="00704E0E" w:rsidP="002A6A09">
            <w:pPr>
              <w:spacing w:after="0" w:line="256" w:lineRule="atLeast"/>
              <w:rPr>
                <w:rFonts w:ascii="Verdana" w:hAnsi="Verdana" w:cs="Verdana"/>
                <w:sz w:val="19"/>
                <w:szCs w:val="19"/>
              </w:rPr>
            </w:pPr>
          </w:p>
        </w:tc>
      </w:tr>
    </w:tbl>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D4C1F" w:rsidRPr="00FD4C1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RECOMMENDED SOURCES</w:t>
            </w:r>
          </w:p>
        </w:tc>
      </w:tr>
      <w:tr w:rsidR="00FD4C1F" w:rsidRPr="00FD4C1F">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FD4C1F" w:rsidRDefault="00F10471" w:rsidP="00665415">
            <w:pPr>
              <w:spacing w:after="0" w:line="240" w:lineRule="atLeast"/>
              <w:rPr>
                <w:rFonts w:ascii="Verdana" w:hAnsi="Verdana" w:cs="Verdana"/>
                <w:sz w:val="19"/>
                <w:szCs w:val="19"/>
              </w:rPr>
            </w:pPr>
            <w:r w:rsidRPr="00FD4C1F">
              <w:rPr>
                <w:rFonts w:ascii="Verdana" w:hAnsi="Verdana" w:cs="Verdana"/>
                <w:b/>
                <w:bCs/>
                <w:sz w:val="18"/>
                <w:szCs w:val="18"/>
                <w:lang w:eastAsia="tr-TR"/>
              </w:rPr>
              <w:t>Textbook</w:t>
            </w:r>
            <w:r w:rsidR="00665415" w:rsidRPr="00FD4C1F">
              <w:rPr>
                <w:rFonts w:ascii="Verdana" w:hAnsi="Verdana" w:cs="Verdana"/>
                <w:b/>
                <w:bCs/>
                <w:sz w:val="18"/>
                <w:szCs w:val="18"/>
                <w:lang w:eastAsia="tr-TR"/>
              </w:rPr>
              <w:t xml:space="preserve">  </w:t>
            </w:r>
          </w:p>
          <w:p w:rsidR="00F10471" w:rsidRPr="00FD4C1F" w:rsidRDefault="00F10471" w:rsidP="00665415">
            <w:pPr>
              <w:spacing w:after="0" w:line="240" w:lineRule="atLeast"/>
              <w:rPr>
                <w:rFonts w:ascii="Verdana" w:hAnsi="Verdana" w:cs="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04E0E" w:rsidRPr="00FD4C1F" w:rsidRDefault="00704E0E" w:rsidP="00704E0E">
            <w:pPr>
              <w:pStyle w:val="ListParagraph"/>
              <w:numPr>
                <w:ilvl w:val="0"/>
                <w:numId w:val="2"/>
              </w:numPr>
              <w:autoSpaceDE w:val="0"/>
              <w:autoSpaceDN w:val="0"/>
              <w:adjustRightInd w:val="0"/>
              <w:rPr>
                <w:rFonts w:ascii="Verdana" w:hAnsi="Verdana" w:cs="Verdana"/>
                <w:sz w:val="19"/>
                <w:szCs w:val="19"/>
              </w:rPr>
            </w:pPr>
            <w:r w:rsidRPr="00FD4C1F">
              <w:rPr>
                <w:rFonts w:ascii="Verdana" w:hAnsi="Verdana" w:cs="Verdana"/>
                <w:sz w:val="19"/>
                <w:szCs w:val="19"/>
              </w:rPr>
              <w:t xml:space="preserve">William Easterly,The Elusive Quest for Growth, MIT, 2001. </w:t>
            </w:r>
          </w:p>
          <w:p w:rsidR="00EB34B0" w:rsidRPr="00FD4C1F" w:rsidRDefault="00704E0E" w:rsidP="00704E0E">
            <w:pPr>
              <w:pStyle w:val="ListParagraph"/>
              <w:numPr>
                <w:ilvl w:val="0"/>
                <w:numId w:val="2"/>
              </w:numPr>
              <w:autoSpaceDE w:val="0"/>
              <w:autoSpaceDN w:val="0"/>
              <w:adjustRightInd w:val="0"/>
              <w:rPr>
                <w:rFonts w:ascii="Verdana" w:hAnsi="Verdana" w:cs="Verdana"/>
                <w:sz w:val="19"/>
                <w:szCs w:val="19"/>
              </w:rPr>
            </w:pPr>
            <w:r w:rsidRPr="00FD4C1F">
              <w:rPr>
                <w:rFonts w:ascii="Verdana" w:hAnsi="Verdana" w:cs="Verdana"/>
                <w:sz w:val="19"/>
                <w:szCs w:val="19"/>
              </w:rPr>
              <w:t xml:space="preserve">Paul Krugman,The Return of Depression Economics and the Crisis of 2008, W.W. Norton, 2009. </w:t>
            </w:r>
          </w:p>
          <w:p w:rsidR="00704E0E" w:rsidRPr="00FD4C1F" w:rsidRDefault="00704E0E" w:rsidP="00704E0E">
            <w:pPr>
              <w:pStyle w:val="ListParagraph"/>
              <w:numPr>
                <w:ilvl w:val="0"/>
                <w:numId w:val="2"/>
              </w:numPr>
              <w:autoSpaceDE w:val="0"/>
              <w:autoSpaceDN w:val="0"/>
              <w:adjustRightInd w:val="0"/>
              <w:rPr>
                <w:rFonts w:ascii="Verdana" w:hAnsi="Verdana" w:cs="Verdana"/>
                <w:sz w:val="19"/>
                <w:szCs w:val="19"/>
              </w:rPr>
            </w:pPr>
            <w:r w:rsidRPr="00FD4C1F">
              <w:rPr>
                <w:rFonts w:ascii="Verdana" w:hAnsi="Verdana"/>
                <w:sz w:val="19"/>
                <w:szCs w:val="19"/>
              </w:rPr>
              <w:t>John D. Daniels and Lee H. Radebaugh, International Business: Environments and Operations, Latest Edition, Pearson.</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04E0E" w:rsidRPr="00FD4C1F" w:rsidRDefault="00704E0E" w:rsidP="00704E0E">
            <w:pPr>
              <w:pStyle w:val="ListParagraph"/>
              <w:numPr>
                <w:ilvl w:val="0"/>
                <w:numId w:val="1"/>
              </w:numPr>
              <w:spacing w:line="270" w:lineRule="atLeast"/>
              <w:rPr>
                <w:rFonts w:ascii="Verdana" w:hAnsi="Verdana" w:cs="Verdana"/>
                <w:sz w:val="19"/>
                <w:szCs w:val="19"/>
                <w:lang w:eastAsia="en-US"/>
              </w:rPr>
            </w:pPr>
            <w:r w:rsidRPr="00FD4C1F">
              <w:rPr>
                <w:rFonts w:ascii="Verdana" w:eastAsia="Times New Roman" w:hAnsi="Verdana" w:cs="Arial"/>
                <w:sz w:val="19"/>
                <w:szCs w:val="19"/>
                <w:lang w:val="en-US"/>
              </w:rPr>
              <w:t>David Miles and Andrew Scott, Macroeconomics, Wiley 2005.</w:t>
            </w:r>
          </w:p>
          <w:p w:rsidR="00833558" w:rsidRPr="00FD4C1F" w:rsidRDefault="00833558" w:rsidP="00704E0E">
            <w:pPr>
              <w:pStyle w:val="ListParagraph"/>
              <w:spacing w:line="270" w:lineRule="atLeast"/>
              <w:rPr>
                <w:rFonts w:ascii="Verdana" w:hAnsi="Verdana" w:cs="Verdana"/>
                <w:sz w:val="19"/>
                <w:szCs w:val="19"/>
              </w:rPr>
            </w:pPr>
          </w:p>
        </w:tc>
      </w:tr>
    </w:tbl>
    <w:p w:rsidR="00F10471" w:rsidRPr="00FD4C1F" w:rsidRDefault="00F10471" w:rsidP="00C51701">
      <w:pPr>
        <w:shd w:val="clear" w:color="auto" w:fill="FFFFFF"/>
        <w:spacing w:after="0" w:line="240" w:lineRule="auto"/>
        <w:rPr>
          <w:sz w:val="20"/>
          <w:szCs w:val="20"/>
          <w:lang w:eastAsia="tr-TR"/>
        </w:rPr>
      </w:pPr>
    </w:p>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D4C1F" w:rsidRPr="00FD4C1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MATERIAL SHARING</w:t>
            </w:r>
          </w:p>
        </w:tc>
      </w:tr>
      <w:tr w:rsidR="00FD4C1F" w:rsidRPr="00FD4C1F">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9"/>
                <w:szCs w:val="19"/>
              </w:rPr>
              <w:t>Power point presentation related to all concepts discussed in the class.</w:t>
            </w:r>
          </w:p>
        </w:tc>
      </w:tr>
      <w:tr w:rsidR="00FD4C1F" w:rsidRPr="00FD4C1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A67564" w:rsidRDefault="00A67564" w:rsidP="00C51701">
            <w:pPr>
              <w:spacing w:after="0" w:line="240" w:lineRule="atLeast"/>
              <w:rPr>
                <w:rFonts w:ascii="Verdana" w:hAnsi="Verdana" w:cs="Verdana"/>
                <w:sz w:val="19"/>
                <w:szCs w:val="19"/>
                <w:lang w:eastAsia="tr-TR"/>
              </w:rPr>
            </w:pPr>
            <w:r w:rsidRPr="00A67564">
              <w:rPr>
                <w:rFonts w:ascii="Verdana" w:hAnsi="Verdana"/>
                <w:sz w:val="19"/>
                <w:szCs w:val="19"/>
              </w:rPr>
              <w:t>Case Analyses</w:t>
            </w:r>
          </w:p>
        </w:tc>
      </w:tr>
      <w:tr w:rsidR="00FD4C1F" w:rsidRPr="00FD4C1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9"/>
                <w:szCs w:val="19"/>
              </w:rPr>
              <w:t>One midterm, one final exam</w:t>
            </w:r>
          </w:p>
        </w:tc>
      </w:tr>
    </w:tbl>
    <w:p w:rsidR="00F10471" w:rsidRPr="00FD4C1F" w:rsidRDefault="00F10471" w:rsidP="00C51701">
      <w:pPr>
        <w:shd w:val="clear" w:color="auto" w:fill="FFFFFF"/>
        <w:spacing w:after="0" w:line="240" w:lineRule="auto"/>
        <w:rPr>
          <w:sz w:val="20"/>
          <w:szCs w:val="20"/>
          <w:lang w:eastAsia="tr-TR"/>
        </w:rPr>
      </w:pPr>
    </w:p>
    <w:p w:rsidR="00F10471" w:rsidRPr="00FD4C1F" w:rsidRDefault="00F10471" w:rsidP="00C51701">
      <w:pPr>
        <w:shd w:val="clear" w:color="auto" w:fill="FFFFFF"/>
        <w:spacing w:after="0" w:line="240" w:lineRule="auto"/>
        <w:rPr>
          <w:sz w:val="20"/>
          <w:szCs w:val="20"/>
          <w:lang w:eastAsia="tr-TR"/>
        </w:rPr>
      </w:pPr>
    </w:p>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D4C1F" w:rsidRPr="00FD4C1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center"/>
              <w:rPr>
                <w:rFonts w:ascii="Verdana" w:hAnsi="Verdana" w:cs="Verdana"/>
                <w:sz w:val="18"/>
                <w:szCs w:val="18"/>
                <w:lang w:eastAsia="tr-TR"/>
              </w:rPr>
            </w:pPr>
            <w:r w:rsidRPr="00FD4C1F">
              <w:rPr>
                <w:rFonts w:ascii="Verdana" w:hAnsi="Verdana" w:cs="Verdana"/>
                <w:b/>
                <w:bCs/>
                <w:sz w:val="18"/>
                <w:szCs w:val="18"/>
                <w:lang w:eastAsia="tr-TR"/>
              </w:rPr>
              <w:t>ASSESSMENT</w:t>
            </w:r>
          </w:p>
        </w:tc>
      </w:tr>
      <w:tr w:rsidR="00FD4C1F" w:rsidRPr="00FD4C1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PERCENTAGE</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30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10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20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right"/>
              <w:rPr>
                <w:rFonts w:ascii="Verdana" w:hAnsi="Verdana" w:cs="Verdana"/>
                <w:sz w:val="18"/>
                <w:szCs w:val="18"/>
                <w:lang w:eastAsia="tr-TR"/>
              </w:rPr>
            </w:pPr>
            <w:r w:rsidRPr="00FD4C1F">
              <w:rPr>
                <w:rFonts w:ascii="Verdana" w:hAnsi="Verdana" w:cs="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60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40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60</w:t>
            </w:r>
          </w:p>
        </w:tc>
      </w:tr>
      <w:tr w:rsidR="00FD4C1F" w:rsidRPr="00FD4C1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jc w:val="right"/>
              <w:rPr>
                <w:rFonts w:ascii="Verdana" w:hAnsi="Verdana" w:cs="Verdana"/>
                <w:sz w:val="18"/>
                <w:szCs w:val="18"/>
                <w:lang w:eastAsia="tr-TR"/>
              </w:rPr>
            </w:pPr>
            <w:r w:rsidRPr="00FD4C1F">
              <w:rPr>
                <w:rFonts w:ascii="Verdana" w:hAnsi="Verdana" w:cs="Verdana"/>
                <w:b/>
                <w:bCs/>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100</w:t>
            </w:r>
          </w:p>
        </w:tc>
      </w:tr>
    </w:tbl>
    <w:p w:rsidR="00F10471" w:rsidRPr="00FD4C1F" w:rsidRDefault="00F10471" w:rsidP="00C51701">
      <w:pPr>
        <w:shd w:val="clear" w:color="auto" w:fill="FFFFFF"/>
        <w:spacing w:after="0" w:line="240" w:lineRule="auto"/>
        <w:rPr>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D4C1F" w:rsidRPr="00FD4C1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b/>
                <w:bCs/>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FD4C1F" w:rsidRDefault="00F10471" w:rsidP="00C51701">
            <w:pPr>
              <w:spacing w:after="0" w:line="240" w:lineRule="atLeast"/>
              <w:rPr>
                <w:rFonts w:ascii="Verdana" w:hAnsi="Verdana" w:cs="Verdana"/>
                <w:sz w:val="18"/>
                <w:szCs w:val="18"/>
                <w:lang w:eastAsia="tr-TR"/>
              </w:rPr>
            </w:pPr>
            <w:r w:rsidRPr="00FD4C1F">
              <w:rPr>
                <w:rFonts w:ascii="Verdana" w:hAnsi="Verdana" w:cs="Verdana"/>
                <w:sz w:val="18"/>
                <w:szCs w:val="18"/>
                <w:lang w:eastAsia="tr-TR"/>
              </w:rPr>
              <w:t>Expertise/Field Courses</w:t>
            </w:r>
          </w:p>
        </w:tc>
      </w:tr>
    </w:tbl>
    <w:p w:rsidR="00F10471" w:rsidRPr="00FD4C1F" w:rsidRDefault="00F10471" w:rsidP="00C51701">
      <w:pPr>
        <w:shd w:val="clear" w:color="auto" w:fill="FFFFFF"/>
        <w:spacing w:after="0" w:line="240" w:lineRule="auto"/>
        <w:rPr>
          <w:sz w:val="20"/>
          <w:szCs w:val="20"/>
          <w:lang w:val="en-US" w:eastAsia="tr-TR"/>
        </w:rPr>
      </w:pPr>
    </w:p>
    <w:p w:rsidR="00146479" w:rsidRPr="00FD4C1F" w:rsidRDefault="00146479" w:rsidP="00C51701">
      <w:pPr>
        <w:shd w:val="clear" w:color="auto" w:fill="FFFFFF"/>
        <w:spacing w:after="0" w:line="240" w:lineRule="auto"/>
        <w:rPr>
          <w:sz w:val="20"/>
          <w:szCs w:val="20"/>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7063"/>
        <w:gridCol w:w="255"/>
        <w:gridCol w:w="255"/>
        <w:gridCol w:w="255"/>
        <w:gridCol w:w="255"/>
        <w:gridCol w:w="255"/>
        <w:gridCol w:w="139"/>
      </w:tblGrid>
      <w:tr w:rsidR="00FD4C1F" w:rsidRPr="00FD4C1F" w:rsidTr="0014647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b/>
                <w:bCs/>
                <w:sz w:val="18"/>
                <w:szCs w:val="18"/>
              </w:rPr>
              <w:t>COURSE'S CONTRIBUTION TO PROGRAM</w:t>
            </w:r>
          </w:p>
        </w:tc>
      </w:tr>
      <w:tr w:rsidR="00FD4C1F" w:rsidRPr="00FD4C1F" w:rsidTr="0014647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rPr>
                <w:rFonts w:ascii="Verdana" w:hAnsi="Verdana"/>
                <w:sz w:val="18"/>
                <w:szCs w:val="18"/>
                <w:lang w:val="en-US"/>
              </w:rPr>
            </w:pPr>
            <w:r w:rsidRPr="00FD4C1F">
              <w:rPr>
                <w:rFonts w:ascii="Verdana" w:hAnsi="Verdana"/>
                <w:sz w:val="18"/>
                <w:szCs w:val="18"/>
              </w:rPr>
              <w:t>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rPr>
                <w:rFonts w:ascii="Verdana" w:hAnsi="Verdana"/>
                <w:sz w:val="18"/>
                <w:szCs w:val="18"/>
                <w:lang w:val="en-US"/>
              </w:rPr>
            </w:pPr>
            <w:r w:rsidRPr="00FD4C1F">
              <w:rPr>
                <w:rFonts w:ascii="Verdana" w:hAnsi="Verdana"/>
                <w:sz w:val="18"/>
                <w:szCs w:val="18"/>
              </w:rPr>
              <w:t>Program Learning Outcomes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Contribution</w:t>
            </w:r>
          </w:p>
        </w:tc>
      </w:tr>
      <w:tr w:rsidR="00FD4C1F" w:rsidRPr="00FD4C1F" w:rsidTr="0014647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rPr>
                <w:rFonts w:ascii="Verdana" w:hAnsi="Verdana"/>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rPr>
                <w:rFonts w:ascii="Verdana" w:hAnsi="Verdana"/>
                <w:sz w:val="18"/>
                <w:szCs w:val="18"/>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3</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4</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jc w:val="center"/>
              <w:rPr>
                <w:rFonts w:ascii="Verdana" w:hAnsi="Verdana"/>
                <w:sz w:val="18"/>
                <w:szCs w:val="18"/>
                <w:lang w:val="en-US"/>
              </w:rPr>
            </w:pPr>
            <w:r w:rsidRPr="00FD4C1F">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Pr="00FD4C1F" w:rsidRDefault="00146479">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possess the sufficient knowledge, discipline and responsibility to be able to conduct independent study/ project/research and a comprehensive research and/or project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fulfill their responsibility in teams and projects in businesses as well as being able and capable to act as a 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design and plan projects to achieve organizational goals and objectives and/or improve organizational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C31B9B">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importance of life-long learning and self assessment to maintain their personal and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that the rapidly-evolving dynamics of national and global environments requires flexible thinking, adaptability, and the ability to formulate innovative solutions to pursue a successful career.</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clearly and effectively convey their knowledge, ideas, research, and conclusions supported with relevant data, in national/international interdisciplinary academic and professional settings in Turkish or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C31B9B">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importance of respect for individual and cultural diversity, and should be able to emphatically interact with individuals from diverse cultural backgrounds in social and professional 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standards of personal, professional and social ethics, evaluate the ethical implications of various practices related to the area of business administration, and have awareness of the importance of ethical behavior in adding value to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personal, social and ecological dimensions of social responsibility and have the awareness that being socially responsible is an active citizenship duty of each and every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importance of quality, safety and health management, corporate social responsibility, personal, professional and cross-cultural respect and professional ethics in maintaining organizational sustainability.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possess the essential body of knowledge in the area of 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Cs/>
                <w:sz w:val="20"/>
                <w:szCs w:val="20"/>
              </w:rPr>
            </w:pPr>
            <w:r w:rsidRPr="00FD4C1F">
              <w:rPr>
                <w:rFonts w:ascii="Times New Roman" w:hAnsi="Times New Roman" w:cs="Times New Roman"/>
                <w:bCs/>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r w:rsidRPr="00FD4C1F">
              <w:rPr>
                <w:rFonts w:ascii="Times New Roman" w:hAnsi="Times New Roman" w:cs="Times New Roman"/>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r w:rsidR="00FD4C1F" w:rsidRPr="00FD4C1F"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Students should understand the interdependency and interrelationship among disciplines, be able to relate and synthesize knowledge from diverse disciplines and draw novel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bCs/>
                <w:sz w:val="20"/>
                <w:szCs w:val="20"/>
              </w:rPr>
            </w:pPr>
            <w:r w:rsidRPr="00FD4C1F">
              <w:rPr>
                <w:rFonts w:ascii="Times New Roman" w:hAnsi="Times New Roman" w:cs="Times New Roman"/>
                <w:bCs/>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rsidP="002A6A09">
            <w:pPr>
              <w:jc w:val="both"/>
              <w:rPr>
                <w:rFonts w:ascii="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jc w:val="center"/>
              <w:rPr>
                <w:rFonts w:ascii="Verdana" w:hAnsi="Verdana"/>
                <w:sz w:val="18"/>
                <w:szCs w:val="18"/>
                <w:lang w:val="en-US"/>
              </w:rPr>
            </w:pPr>
            <w:r w:rsidRPr="00FD4C1F">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F0E" w:rsidRPr="00FD4C1F" w:rsidRDefault="00EB5F0E">
            <w:pPr>
              <w:spacing w:before="100" w:beforeAutospacing="1" w:after="100" w:afterAutospacing="1"/>
              <w:rPr>
                <w:rFonts w:ascii="Verdana" w:hAnsi="Verdana"/>
                <w:sz w:val="18"/>
                <w:szCs w:val="18"/>
                <w:lang w:val="en-US"/>
              </w:rPr>
            </w:pPr>
            <w:r w:rsidRPr="00FD4C1F">
              <w:rPr>
                <w:rFonts w:ascii="Verdana" w:hAnsi="Verdana"/>
                <w:sz w:val="18"/>
                <w:szCs w:val="18"/>
              </w:rPr>
              <w:t> </w:t>
            </w:r>
          </w:p>
        </w:tc>
      </w:tr>
    </w:tbl>
    <w:p w:rsidR="003B1CB4" w:rsidRPr="00FD4C1F" w:rsidRDefault="003B1CB4" w:rsidP="00146479">
      <w:pPr>
        <w:shd w:val="clear" w:color="auto" w:fill="FFFFFF"/>
        <w:spacing w:before="100" w:beforeAutospacing="1" w:after="100" w:afterAutospacing="1" w:line="336" w:lineRule="atLeast"/>
        <w:rPr>
          <w:rFonts w:ascii="Arial" w:hAnsi="Arial" w:cs="Arial"/>
          <w:sz w:val="16"/>
          <w:szCs w:val="1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3B1CB4" w:rsidRPr="004D3F51" w:rsidTr="006C36F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ECTS ALLOCATED BASED ON STUDENT WORKLOAD BY THE COURSE DESCRIPTION</w:t>
            </w:r>
          </w:p>
        </w:tc>
      </w:tr>
      <w:tr w:rsidR="003B1CB4" w:rsidRPr="004D3F51" w:rsidTr="006C36F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Duration</w:t>
            </w:r>
            <w:r w:rsidRPr="00C51701">
              <w:rPr>
                <w:rFonts w:ascii="Verdana" w:hAnsi="Verdana" w:cs="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Total</w:t>
            </w:r>
            <w:r w:rsidRPr="00C51701">
              <w:rPr>
                <w:rFonts w:ascii="Verdana" w:hAnsi="Verdana" w:cs="Verdana"/>
                <w:color w:val="444444"/>
                <w:sz w:val="18"/>
                <w:szCs w:val="18"/>
                <w:lang w:eastAsia="tr-TR"/>
              </w:rPr>
              <w:br/>
              <w:t>Workload</w:t>
            </w:r>
            <w:r w:rsidRPr="00C51701">
              <w:rPr>
                <w:rFonts w:ascii="Verdana" w:hAnsi="Verdana" w:cs="Verdana"/>
                <w:color w:val="444444"/>
                <w:sz w:val="18"/>
                <w:szCs w:val="18"/>
                <w:lang w:eastAsia="tr-TR"/>
              </w:rPr>
              <w:br/>
              <w:t>(Hour)</w:t>
            </w:r>
          </w:p>
        </w:tc>
      </w:tr>
      <w:tr w:rsidR="003B1CB4" w:rsidRPr="004D3F51" w:rsidTr="006C36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Hou</w:t>
            </w:r>
            <w:r>
              <w:rPr>
                <w:rFonts w:ascii="Verdana" w:hAnsi="Verdana" w:cs="Verdana"/>
                <w:color w:val="444444"/>
                <w:sz w:val="18"/>
                <w:szCs w:val="18"/>
                <w:lang w:eastAsia="tr-TR"/>
              </w:rPr>
              <w:t xml:space="preserve">rs for off-the-classroom study </w:t>
            </w:r>
            <w:r>
              <w:rPr>
                <w:rFonts w:ascii="Verdana" w:eastAsia="Times New Roman" w:hAnsi="Verdana"/>
                <w:color w:val="444444"/>
                <w:sz w:val="18"/>
                <w:szCs w:val="18"/>
                <w:lang w:eastAsia="tr-TR"/>
              </w:rPr>
              <w:t>(Including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sidRPr="00C51701">
              <w:rPr>
                <w:rFonts w:ascii="Verdana" w:hAnsi="Verdana" w:cs="Verdana"/>
                <w:color w:val="444444"/>
                <w:sz w:val="18"/>
                <w:szCs w:val="18"/>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3B1CB4" w:rsidRPr="004D3F51" w:rsidTr="006C36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3B1CB4" w:rsidRPr="004D3F51" w:rsidTr="006C36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3B1CB4" w:rsidRPr="004D3F51" w:rsidTr="006C36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3B1CB4" w:rsidRPr="004D3F51" w:rsidTr="006C36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lastRenderedPageBreak/>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3B1CB4" w:rsidRPr="00C51701" w:rsidRDefault="003B1CB4" w:rsidP="006C36FF">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146479" w:rsidRPr="00FD4C1F" w:rsidRDefault="00146479" w:rsidP="00146479">
      <w:pPr>
        <w:shd w:val="clear" w:color="auto" w:fill="FFFFFF"/>
        <w:spacing w:before="100" w:beforeAutospacing="1" w:after="100" w:afterAutospacing="1" w:line="336" w:lineRule="atLeast"/>
        <w:rPr>
          <w:rFonts w:ascii="Arial" w:hAnsi="Arial" w:cs="Arial"/>
          <w:sz w:val="16"/>
          <w:szCs w:val="16"/>
        </w:rPr>
      </w:pPr>
    </w:p>
    <w:p w:rsidR="00E52704" w:rsidRPr="00FD4C1F" w:rsidRDefault="00E52704" w:rsidP="00146479">
      <w:pPr>
        <w:shd w:val="clear" w:color="auto" w:fill="FFFFFF"/>
        <w:spacing w:before="100" w:beforeAutospacing="1" w:after="100" w:afterAutospacing="1" w:line="336" w:lineRule="atLeast"/>
        <w:rPr>
          <w:rFonts w:ascii="Arial" w:hAnsi="Arial" w:cs="Arial"/>
          <w:sz w:val="16"/>
          <w:szCs w:val="16"/>
        </w:rPr>
      </w:pPr>
    </w:p>
    <w:p w:rsidR="00E52704" w:rsidRPr="00FD4C1F" w:rsidRDefault="00E52704" w:rsidP="00146479">
      <w:pPr>
        <w:shd w:val="clear" w:color="auto" w:fill="FFFFFF"/>
        <w:spacing w:before="100" w:beforeAutospacing="1" w:after="100" w:afterAutospacing="1" w:line="336" w:lineRule="atLeast"/>
        <w:rPr>
          <w:rFonts w:ascii="Arial" w:hAnsi="Arial" w:cs="Arial"/>
          <w:sz w:val="16"/>
          <w:szCs w:val="16"/>
          <w:lang w:val="en-US"/>
        </w:rPr>
      </w:pPr>
    </w:p>
    <w:p w:rsidR="00146479" w:rsidRPr="00FD4C1F" w:rsidRDefault="00146479" w:rsidP="00C51701">
      <w:pPr>
        <w:shd w:val="clear" w:color="auto" w:fill="FFFFFF"/>
        <w:spacing w:after="0" w:line="240" w:lineRule="auto"/>
        <w:rPr>
          <w:sz w:val="20"/>
          <w:szCs w:val="20"/>
          <w:lang w:val="en-US" w:eastAsia="tr-TR"/>
        </w:rPr>
      </w:pPr>
    </w:p>
    <w:p w:rsidR="00146479" w:rsidRPr="00FD4C1F" w:rsidRDefault="00146479" w:rsidP="00C51701">
      <w:pPr>
        <w:shd w:val="clear" w:color="auto" w:fill="FFFFFF"/>
        <w:spacing w:after="0" w:line="240" w:lineRule="auto"/>
        <w:rPr>
          <w:sz w:val="20"/>
          <w:szCs w:val="20"/>
          <w:lang w:val="en-US" w:eastAsia="tr-TR"/>
        </w:rPr>
      </w:pPr>
    </w:p>
    <w:p w:rsidR="00F10471" w:rsidRPr="00FD4C1F" w:rsidRDefault="00F10471" w:rsidP="00C51701">
      <w:pPr>
        <w:shd w:val="clear" w:color="auto" w:fill="FFFFFF"/>
        <w:spacing w:after="0" w:line="240" w:lineRule="auto"/>
        <w:rPr>
          <w:sz w:val="20"/>
          <w:szCs w:val="20"/>
          <w:lang w:eastAsia="tr-TR"/>
        </w:rPr>
      </w:pPr>
    </w:p>
    <w:p w:rsidR="00F10471" w:rsidRPr="00FD4C1F" w:rsidRDefault="00F10471"/>
    <w:sectPr w:rsidR="00F10471" w:rsidRPr="00FD4C1F"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93DDD"/>
    <w:rsid w:val="000E29D2"/>
    <w:rsid w:val="000E4821"/>
    <w:rsid w:val="000E7A9A"/>
    <w:rsid w:val="000F0354"/>
    <w:rsid w:val="000F5126"/>
    <w:rsid w:val="00130050"/>
    <w:rsid w:val="00141490"/>
    <w:rsid w:val="00146479"/>
    <w:rsid w:val="00171A62"/>
    <w:rsid w:val="00196253"/>
    <w:rsid w:val="001A4F57"/>
    <w:rsid w:val="001B30BF"/>
    <w:rsid w:val="001E7869"/>
    <w:rsid w:val="00235A2A"/>
    <w:rsid w:val="002D0332"/>
    <w:rsid w:val="002D44AB"/>
    <w:rsid w:val="00307ECA"/>
    <w:rsid w:val="00314586"/>
    <w:rsid w:val="00337977"/>
    <w:rsid w:val="003413CA"/>
    <w:rsid w:val="003642CA"/>
    <w:rsid w:val="003846F7"/>
    <w:rsid w:val="00396B36"/>
    <w:rsid w:val="003A45A1"/>
    <w:rsid w:val="003B1CB4"/>
    <w:rsid w:val="003C6AAC"/>
    <w:rsid w:val="003F43F0"/>
    <w:rsid w:val="00414CBF"/>
    <w:rsid w:val="0042163B"/>
    <w:rsid w:val="00444CC4"/>
    <w:rsid w:val="0048764B"/>
    <w:rsid w:val="00487E27"/>
    <w:rsid w:val="004D3F51"/>
    <w:rsid w:val="004D7704"/>
    <w:rsid w:val="004E2274"/>
    <w:rsid w:val="00531635"/>
    <w:rsid w:val="00562291"/>
    <w:rsid w:val="0056271E"/>
    <w:rsid w:val="00562F25"/>
    <w:rsid w:val="005D1C82"/>
    <w:rsid w:val="00636708"/>
    <w:rsid w:val="00660279"/>
    <w:rsid w:val="00665415"/>
    <w:rsid w:val="00666462"/>
    <w:rsid w:val="00684204"/>
    <w:rsid w:val="006B2CA8"/>
    <w:rsid w:val="006D244F"/>
    <w:rsid w:val="006E77E2"/>
    <w:rsid w:val="006F603D"/>
    <w:rsid w:val="00704E0E"/>
    <w:rsid w:val="00736170"/>
    <w:rsid w:val="00800D5C"/>
    <w:rsid w:val="00810C80"/>
    <w:rsid w:val="008150E8"/>
    <w:rsid w:val="0081720E"/>
    <w:rsid w:val="00833558"/>
    <w:rsid w:val="008761A8"/>
    <w:rsid w:val="008822B0"/>
    <w:rsid w:val="008B5BE1"/>
    <w:rsid w:val="00947491"/>
    <w:rsid w:val="00954287"/>
    <w:rsid w:val="00982D5A"/>
    <w:rsid w:val="00A67564"/>
    <w:rsid w:val="00AA4284"/>
    <w:rsid w:val="00AA5D64"/>
    <w:rsid w:val="00B075E0"/>
    <w:rsid w:val="00B51CB1"/>
    <w:rsid w:val="00B90445"/>
    <w:rsid w:val="00BB09C5"/>
    <w:rsid w:val="00BD1B6D"/>
    <w:rsid w:val="00C31B9B"/>
    <w:rsid w:val="00C51701"/>
    <w:rsid w:val="00C900CA"/>
    <w:rsid w:val="00CE5FFA"/>
    <w:rsid w:val="00D31479"/>
    <w:rsid w:val="00D54DAF"/>
    <w:rsid w:val="00E00477"/>
    <w:rsid w:val="00E127F8"/>
    <w:rsid w:val="00E22619"/>
    <w:rsid w:val="00E41BDA"/>
    <w:rsid w:val="00E52704"/>
    <w:rsid w:val="00E92AB1"/>
    <w:rsid w:val="00EB2BFE"/>
    <w:rsid w:val="00EB34B0"/>
    <w:rsid w:val="00EB5B7B"/>
    <w:rsid w:val="00EB5F0E"/>
    <w:rsid w:val="00F10471"/>
    <w:rsid w:val="00F26F70"/>
    <w:rsid w:val="00FC0E22"/>
    <w:rsid w:val="00FD4C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 w:id="1579948377">
      <w:bodyDiv w:val="1"/>
      <w:marLeft w:val="0"/>
      <w:marRight w:val="0"/>
      <w:marTop w:val="0"/>
      <w:marBottom w:val="0"/>
      <w:divBdr>
        <w:top w:val="none" w:sz="0" w:space="0" w:color="auto"/>
        <w:left w:val="none" w:sz="0" w:space="0" w:color="auto"/>
        <w:bottom w:val="none" w:sz="0" w:space="0" w:color="auto"/>
        <w:right w:val="none" w:sz="0" w:space="0" w:color="auto"/>
      </w:divBdr>
      <w:divsChild>
        <w:div w:id="945356815">
          <w:marLeft w:val="0"/>
          <w:marRight w:val="0"/>
          <w:marTop w:val="0"/>
          <w:marBottom w:val="0"/>
          <w:divBdr>
            <w:top w:val="none" w:sz="0" w:space="0" w:color="auto"/>
            <w:left w:val="none" w:sz="0" w:space="0" w:color="auto"/>
            <w:bottom w:val="none" w:sz="0" w:space="0" w:color="auto"/>
            <w:right w:val="none" w:sz="0" w:space="0" w:color="auto"/>
          </w:divBdr>
        </w:div>
        <w:div w:id="1410811624">
          <w:marLeft w:val="0"/>
          <w:marRight w:val="0"/>
          <w:marTop w:val="0"/>
          <w:marBottom w:val="0"/>
          <w:divBdr>
            <w:top w:val="none" w:sz="0" w:space="0" w:color="auto"/>
            <w:left w:val="none" w:sz="0" w:space="0" w:color="auto"/>
            <w:bottom w:val="none" w:sz="0" w:space="0" w:color="auto"/>
            <w:right w:val="none" w:sz="0" w:space="0" w:color="auto"/>
          </w:divBdr>
        </w:div>
      </w:divsChild>
    </w:div>
    <w:div w:id="1739473603">
      <w:bodyDiv w:val="1"/>
      <w:marLeft w:val="0"/>
      <w:marRight w:val="0"/>
      <w:marTop w:val="0"/>
      <w:marBottom w:val="0"/>
      <w:divBdr>
        <w:top w:val="none" w:sz="0" w:space="0" w:color="auto"/>
        <w:left w:val="none" w:sz="0" w:space="0" w:color="auto"/>
        <w:bottom w:val="none" w:sz="0" w:space="0" w:color="auto"/>
        <w:right w:val="none" w:sz="0" w:space="0" w:color="auto"/>
      </w:divBdr>
      <w:divsChild>
        <w:div w:id="430048286">
          <w:marLeft w:val="0"/>
          <w:marRight w:val="0"/>
          <w:marTop w:val="0"/>
          <w:marBottom w:val="0"/>
          <w:divBdr>
            <w:top w:val="none" w:sz="0" w:space="0" w:color="auto"/>
            <w:left w:val="none" w:sz="0" w:space="0" w:color="auto"/>
            <w:bottom w:val="none" w:sz="0" w:space="0" w:color="auto"/>
            <w:right w:val="none" w:sz="0" w:space="0" w:color="auto"/>
          </w:divBdr>
        </w:div>
        <w:div w:id="19851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INFORMATON</vt:lpstr>
    </vt:vector>
  </TitlesOfParts>
  <Company>University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Esin Karamustafa</cp:lastModifiedBy>
  <cp:revision>5</cp:revision>
  <dcterms:created xsi:type="dcterms:W3CDTF">2014-05-05T11:27:00Z</dcterms:created>
  <dcterms:modified xsi:type="dcterms:W3CDTF">2017-05-15T12:38:00Z</dcterms:modified>
</cp:coreProperties>
</file>