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Pr="00DA6D31" w:rsidRDefault="00AC597A" w:rsidP="00A26D9A">
      <w:pPr>
        <w:jc w:val="both"/>
        <w:rPr>
          <w:rFonts w:ascii="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92"/>
        <w:gridCol w:w="1311"/>
        <w:gridCol w:w="929"/>
        <w:gridCol w:w="1628"/>
        <w:gridCol w:w="804"/>
        <w:gridCol w:w="841"/>
      </w:tblGrid>
      <w:tr w:rsidR="00E04288" w:rsidRPr="00DA6D31" w:rsidTr="009C7F32">
        <w:trPr>
          <w:trHeight w:val="525"/>
          <w:tblCellSpacing w:w="15" w:type="dxa"/>
          <w:jc w:val="center"/>
        </w:trPr>
        <w:tc>
          <w:tcPr>
            <w:tcW w:w="0" w:type="auto"/>
            <w:gridSpan w:val="6"/>
            <w:shd w:val="clear" w:color="auto" w:fill="ECEBEB"/>
            <w:vAlign w:val="center"/>
            <w:hideMark/>
          </w:tcPr>
          <w:p w:rsidR="006A2754" w:rsidRPr="00DA6D31" w:rsidRDefault="006A2754" w:rsidP="00A26D9A">
            <w:pPr>
              <w:spacing w:after="0" w:line="240" w:lineRule="auto"/>
              <w:jc w:val="both"/>
              <w:rPr>
                <w:rFonts w:ascii="Times New Roman" w:eastAsia="Times New Roman" w:hAnsi="Times New Roman" w:cs="Times New Roman"/>
                <w:b/>
                <w:bCs/>
                <w:color w:val="000000" w:themeColor="text1"/>
                <w:sz w:val="20"/>
                <w:szCs w:val="20"/>
              </w:rPr>
            </w:pPr>
            <w:r w:rsidRPr="00DA6D31">
              <w:rPr>
                <w:rFonts w:ascii="Times New Roman" w:eastAsia="Times New Roman" w:hAnsi="Times New Roman" w:cs="Times New Roman"/>
                <w:b/>
                <w:bCs/>
                <w:color w:val="000000" w:themeColor="text1"/>
                <w:sz w:val="20"/>
                <w:szCs w:val="20"/>
              </w:rPr>
              <w:t>DERS BİLGİLERİ</w:t>
            </w:r>
          </w:p>
        </w:tc>
      </w:tr>
      <w:tr w:rsidR="00BB13DE" w:rsidRPr="00DA6D3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0013A7"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i/>
                <w:iCs/>
                <w:color w:val="000000" w:themeColor="text1"/>
                <w:sz w:val="20"/>
                <w:szCs w:val="20"/>
              </w:rPr>
              <w:t xml:space="preserve">T+U+L </w:t>
            </w:r>
            <w:r w:rsidR="006A2754" w:rsidRPr="00DA6D31">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i/>
                <w:iCs/>
                <w:color w:val="000000" w:themeColor="text1"/>
                <w:sz w:val="20"/>
                <w:szCs w:val="20"/>
              </w:rPr>
              <w:t>AKTS</w:t>
            </w:r>
          </w:p>
        </w:tc>
      </w:tr>
      <w:tr w:rsidR="00BB13DE" w:rsidRPr="00DA6D31"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BB13DE" w:rsidP="00A26D9A">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Sermaye Piyasası Mevzuatı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BB13DE" w:rsidP="00A26D9A">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524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EE7F90"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EE7F90"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EE7F90"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BB13DE" w:rsidP="00A26D9A">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bookmarkStart w:id="0" w:name="_GoBack"/>
            <w:bookmarkEnd w:id="0"/>
          </w:p>
        </w:tc>
      </w:tr>
    </w:tbl>
    <w:p w:rsidR="006A2754" w:rsidRPr="00DA6D31" w:rsidRDefault="006A2754" w:rsidP="00A26D9A">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E04288" w:rsidRPr="00DA6D31"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p>
        </w:tc>
      </w:tr>
    </w:tbl>
    <w:p w:rsidR="006A2754" w:rsidRPr="00DA6D31" w:rsidRDefault="006A2754" w:rsidP="00A26D9A">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E04288" w:rsidRPr="00DA6D31"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BB13DE" w:rsidP="00A26D9A">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Türkçe</w:t>
            </w:r>
          </w:p>
        </w:tc>
      </w:tr>
      <w:tr w:rsidR="00E04288" w:rsidRPr="00DA6D3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BB13DE" w:rsidP="00A26D9A">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Yüksek </w:t>
            </w:r>
            <w:r w:rsidR="00EE7F90" w:rsidRPr="00DA6D31">
              <w:rPr>
                <w:rFonts w:ascii="Times New Roman" w:eastAsia="Times New Roman" w:hAnsi="Times New Roman" w:cs="Times New Roman"/>
                <w:color w:val="000000" w:themeColor="text1"/>
                <w:sz w:val="20"/>
                <w:szCs w:val="20"/>
              </w:rPr>
              <w:t>Lisans</w:t>
            </w:r>
          </w:p>
        </w:tc>
      </w:tr>
      <w:tr w:rsidR="00E04288" w:rsidRPr="00DA6D3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p>
        </w:tc>
      </w:tr>
      <w:tr w:rsidR="00E04288" w:rsidRPr="00DA6D3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p>
        </w:tc>
      </w:tr>
      <w:tr w:rsidR="00E04288" w:rsidRPr="00DA6D3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p>
        </w:tc>
      </w:tr>
      <w:tr w:rsidR="00A63992" w:rsidRPr="00DA6D31"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p>
        </w:tc>
      </w:tr>
      <w:tr w:rsidR="00A63992" w:rsidRPr="00DA6D31"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A6D31" w:rsidRDefault="00EE7F90" w:rsidP="00A26D9A">
            <w:pPr>
              <w:spacing w:after="0" w:line="288" w:lineRule="atLeast"/>
              <w:jc w:val="both"/>
              <w:rPr>
                <w:rFonts w:ascii="Times New Roman" w:eastAsia="Times New Roman" w:hAnsi="Times New Roman" w:cs="Times New Roman"/>
                <w:color w:val="000000" w:themeColor="text1"/>
                <w:sz w:val="20"/>
                <w:szCs w:val="20"/>
              </w:rPr>
            </w:pPr>
            <w:r w:rsidRPr="00DA6D31">
              <w:rPr>
                <w:rFonts w:ascii="Times New Roman" w:hAnsi="Times New Roman" w:cs="Times New Roman"/>
                <w:sz w:val="20"/>
                <w:szCs w:val="20"/>
              </w:rPr>
              <w:t xml:space="preserve">Finansal kurumların varlığı ve  temel dinamiklerinin analiz </w:t>
            </w:r>
            <w:proofErr w:type="gramStart"/>
            <w:r w:rsidRPr="00DA6D31">
              <w:rPr>
                <w:rFonts w:ascii="Times New Roman" w:hAnsi="Times New Roman" w:cs="Times New Roman"/>
                <w:sz w:val="20"/>
                <w:szCs w:val="20"/>
              </w:rPr>
              <w:t>edilmesi,finansal</w:t>
            </w:r>
            <w:proofErr w:type="gramEnd"/>
            <w:r w:rsidRPr="00DA6D31">
              <w:rPr>
                <w:rFonts w:ascii="Times New Roman" w:hAnsi="Times New Roman" w:cs="Times New Roman"/>
                <w:sz w:val="20"/>
                <w:szCs w:val="20"/>
              </w:rPr>
              <w:t xml:space="preserve"> kurumlar hakkında yeterli kavramsal ve sayısal bilgilerin sunulması. </w:t>
            </w:r>
            <w:r w:rsidR="00CA4C3D" w:rsidRPr="00DA6D31">
              <w:rPr>
                <w:rFonts w:ascii="Times New Roman" w:hAnsi="Times New Roman" w:cs="Times New Roman"/>
                <w:sz w:val="20"/>
                <w:szCs w:val="20"/>
              </w:rPr>
              <w:t xml:space="preserve"> </w:t>
            </w:r>
          </w:p>
        </w:tc>
      </w:tr>
      <w:tr w:rsidR="00A63992" w:rsidRPr="00DA6D31"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A6D31" w:rsidRDefault="00BB13DE" w:rsidP="00A26D9A">
            <w:pPr>
              <w:spacing w:after="0" w:line="288" w:lineRule="atLeast"/>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 xml:space="preserve">Türk sermaye piyasası ve özellikleri, sermaye piyasası faaliyetleri ve denetimi. </w:t>
            </w:r>
            <w:proofErr w:type="gramEnd"/>
            <w:r>
              <w:rPr>
                <w:rFonts w:ascii="Times New Roman" w:eastAsia="Times New Roman" w:hAnsi="Times New Roman" w:cs="Times New Roman"/>
                <w:color w:val="000000" w:themeColor="text1"/>
                <w:sz w:val="20"/>
                <w:szCs w:val="20"/>
              </w:rPr>
              <w:t>Sermaye piyasasında işlem gören menkul kıymetler ve bunların halka arzı. Halka açık anonim şirketler, aracı kurumlar. Vadeli işlemler.</w:t>
            </w:r>
          </w:p>
        </w:tc>
      </w:tr>
    </w:tbl>
    <w:p w:rsidR="006A2754" w:rsidRPr="00DA6D31" w:rsidRDefault="006A2754" w:rsidP="00A26D9A">
      <w:pPr>
        <w:spacing w:after="0" w:line="240" w:lineRule="auto"/>
        <w:jc w:val="both"/>
        <w:rPr>
          <w:rFonts w:ascii="Times New Roman" w:eastAsia="Times New Roman" w:hAnsi="Times New Roman" w:cs="Times New Roman"/>
          <w:color w:val="000000" w:themeColor="text1"/>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49"/>
        <w:gridCol w:w="1119"/>
        <w:gridCol w:w="1148"/>
        <w:gridCol w:w="1232"/>
      </w:tblGrid>
      <w:tr w:rsidR="00CA4C3D" w:rsidRPr="00DA6D31" w:rsidTr="00CA4C3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A4C3D" w:rsidRPr="00DA6D31" w:rsidRDefault="00CA4C3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Dersin Öğrenme Çıktıları</w:t>
            </w:r>
          </w:p>
        </w:tc>
        <w:tc>
          <w:tcPr>
            <w:tcW w:w="592" w:type="pct"/>
            <w:tcBorders>
              <w:bottom w:val="single" w:sz="6" w:space="0" w:color="CCCCCC"/>
            </w:tcBorders>
            <w:shd w:val="clear" w:color="auto" w:fill="FFFFFF"/>
            <w:tcMar>
              <w:top w:w="15" w:type="dxa"/>
              <w:left w:w="80" w:type="dxa"/>
              <w:bottom w:w="15" w:type="dxa"/>
              <w:right w:w="15" w:type="dxa"/>
            </w:tcMar>
            <w:hideMark/>
          </w:tcPr>
          <w:p w:rsidR="00CA4C3D" w:rsidRPr="00DA6D31" w:rsidRDefault="00CA4C3D" w:rsidP="00A26D9A">
            <w:pPr>
              <w:spacing w:after="0" w:line="256" w:lineRule="atLeast"/>
              <w:jc w:val="both"/>
              <w:rPr>
                <w:rFonts w:ascii="Times New Roman" w:hAnsi="Times New Roman" w:cs="Times New Roman"/>
                <w:b/>
                <w:bCs/>
                <w:color w:val="444444"/>
                <w:sz w:val="20"/>
                <w:szCs w:val="20"/>
              </w:rPr>
            </w:pPr>
            <w:r w:rsidRPr="00DA6D31">
              <w:rPr>
                <w:rFonts w:ascii="Times New Roman" w:hAnsi="Times New Roman" w:cs="Times New Roman"/>
                <w:b/>
                <w:bCs/>
                <w:color w:val="444444"/>
                <w:sz w:val="20"/>
                <w:szCs w:val="20"/>
              </w:rPr>
              <w:t>Program Ogrenim Ciktilari</w:t>
            </w:r>
          </w:p>
        </w:tc>
        <w:tc>
          <w:tcPr>
            <w:tcW w:w="608" w:type="pct"/>
            <w:tcBorders>
              <w:bottom w:val="single" w:sz="6" w:space="0" w:color="CCCCCC"/>
            </w:tcBorders>
            <w:shd w:val="clear" w:color="auto" w:fill="FFFFFF"/>
            <w:vAlign w:val="center"/>
          </w:tcPr>
          <w:p w:rsidR="00CA4C3D" w:rsidRPr="00DA6D31" w:rsidRDefault="00CA4C3D" w:rsidP="00A26D9A">
            <w:pPr>
              <w:spacing w:after="0" w:line="256" w:lineRule="atLeast"/>
              <w:jc w:val="both"/>
              <w:rPr>
                <w:rFonts w:ascii="Times New Roman" w:hAnsi="Times New Roman" w:cs="Times New Roman"/>
                <w:color w:val="444444"/>
                <w:sz w:val="20"/>
                <w:szCs w:val="20"/>
              </w:rPr>
            </w:pPr>
            <w:r w:rsidRPr="00DA6D31">
              <w:rPr>
                <w:rFonts w:ascii="Times New Roman" w:hAnsi="Times New Roman" w:cs="Times New Roman"/>
                <w:b/>
                <w:bCs/>
                <w:color w:val="444444"/>
                <w:sz w:val="20"/>
                <w:szCs w:val="20"/>
              </w:rPr>
              <w:t>Öğretim Yöntemleri</w:t>
            </w:r>
          </w:p>
        </w:tc>
        <w:tc>
          <w:tcPr>
            <w:tcW w:w="645" w:type="pct"/>
            <w:tcBorders>
              <w:bottom w:val="single" w:sz="6" w:space="0" w:color="CCCCCC"/>
            </w:tcBorders>
            <w:shd w:val="clear" w:color="auto" w:fill="FFFFFF"/>
            <w:tcMar>
              <w:top w:w="15" w:type="dxa"/>
              <w:left w:w="80" w:type="dxa"/>
              <w:bottom w:w="15" w:type="dxa"/>
              <w:right w:w="15" w:type="dxa"/>
            </w:tcMar>
            <w:vAlign w:val="center"/>
            <w:hideMark/>
          </w:tcPr>
          <w:p w:rsidR="00CA4C3D" w:rsidRPr="00DA6D31" w:rsidRDefault="00CA4C3D" w:rsidP="00A26D9A">
            <w:pPr>
              <w:spacing w:after="0" w:line="256" w:lineRule="atLeast"/>
              <w:jc w:val="both"/>
              <w:rPr>
                <w:rFonts w:ascii="Times New Roman" w:hAnsi="Times New Roman" w:cs="Times New Roman"/>
                <w:color w:val="444444"/>
                <w:sz w:val="20"/>
                <w:szCs w:val="20"/>
              </w:rPr>
            </w:pPr>
            <w:r w:rsidRPr="00DA6D31">
              <w:rPr>
                <w:rFonts w:ascii="Times New Roman" w:hAnsi="Times New Roman" w:cs="Times New Roman"/>
                <w:b/>
                <w:bCs/>
                <w:color w:val="444444"/>
                <w:sz w:val="20"/>
                <w:szCs w:val="20"/>
              </w:rPr>
              <w:t>Ölçme Yöntemleri</w:t>
            </w:r>
          </w:p>
        </w:tc>
      </w:tr>
      <w:tr w:rsidR="00CA4C3D" w:rsidRPr="00DA6D31" w:rsidTr="00CA4C3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4C3D" w:rsidRPr="00DA6D31" w:rsidRDefault="00CA4C3D" w:rsidP="00A26D9A">
            <w:pPr>
              <w:spacing w:line="200" w:lineRule="atLeast"/>
              <w:jc w:val="both"/>
              <w:rPr>
                <w:rFonts w:ascii="Times New Roman" w:hAnsi="Times New Roman" w:cs="Times New Roman"/>
                <w:color w:val="000000" w:themeColor="text1"/>
                <w:sz w:val="20"/>
                <w:szCs w:val="20"/>
              </w:rPr>
            </w:pPr>
            <w:r w:rsidRPr="00DA6D31">
              <w:rPr>
                <w:rFonts w:ascii="Times New Roman" w:hAnsi="Times New Roman" w:cs="Times New Roman"/>
                <w:color w:val="000000" w:themeColor="text1"/>
                <w:sz w:val="20"/>
                <w:szCs w:val="20"/>
              </w:rPr>
              <w:t>F</w:t>
            </w:r>
            <w:r w:rsidRPr="00DA6D31">
              <w:rPr>
                <w:rFonts w:ascii="Times New Roman" w:hAnsi="Times New Roman" w:cs="Times New Roman"/>
                <w:sz w:val="20"/>
                <w:szCs w:val="20"/>
              </w:rPr>
              <w:t>inansal sistemin kurumlarını ve mekanizmasının kavranması</w:t>
            </w:r>
          </w:p>
        </w:tc>
        <w:tc>
          <w:tcPr>
            <w:tcW w:w="592" w:type="pct"/>
            <w:tcBorders>
              <w:bottom w:val="single" w:sz="6" w:space="0" w:color="CCCCCC"/>
            </w:tcBorders>
            <w:shd w:val="clear" w:color="auto" w:fill="FFFFFF"/>
            <w:tcMar>
              <w:top w:w="15" w:type="dxa"/>
              <w:left w:w="80" w:type="dxa"/>
              <w:bottom w:w="15" w:type="dxa"/>
              <w:right w:w="15" w:type="dxa"/>
            </w:tcMar>
          </w:tcPr>
          <w:p w:rsidR="00CA4C3D" w:rsidRPr="00DA6D31" w:rsidRDefault="00CA4C3D" w:rsidP="00A26D9A">
            <w:pPr>
              <w:spacing w:line="240" w:lineRule="atLeast"/>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1, 3</w:t>
            </w:r>
          </w:p>
        </w:tc>
        <w:tc>
          <w:tcPr>
            <w:tcW w:w="608" w:type="pct"/>
            <w:tcBorders>
              <w:bottom w:val="single" w:sz="6" w:space="0" w:color="CCCCCC"/>
            </w:tcBorders>
            <w:shd w:val="clear" w:color="auto" w:fill="FFFFFF"/>
            <w:vAlign w:val="center"/>
          </w:tcPr>
          <w:p w:rsidR="00CA4C3D" w:rsidRPr="00DA6D31" w:rsidRDefault="00CA4C3D" w:rsidP="00A26D9A">
            <w:pPr>
              <w:spacing w:after="0" w:line="240" w:lineRule="atLeast"/>
              <w:jc w:val="both"/>
              <w:rPr>
                <w:rFonts w:ascii="Times New Roman" w:hAnsi="Times New Roman" w:cs="Times New Roman"/>
                <w:color w:val="444444"/>
                <w:sz w:val="20"/>
                <w:szCs w:val="20"/>
              </w:rPr>
            </w:pPr>
            <w:proofErr w:type="gramStart"/>
            <w:r w:rsidRPr="00DA6D31">
              <w:rPr>
                <w:rFonts w:ascii="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CA4C3D" w:rsidRPr="00DA6D31" w:rsidRDefault="00DA6D31" w:rsidP="00A26D9A">
            <w:pPr>
              <w:spacing w:after="0" w:line="256" w:lineRule="atLeast"/>
              <w:jc w:val="both"/>
              <w:rPr>
                <w:rFonts w:ascii="Times New Roman" w:hAnsi="Times New Roman" w:cs="Times New Roman"/>
                <w:color w:val="444444"/>
                <w:sz w:val="20"/>
                <w:szCs w:val="20"/>
              </w:rPr>
            </w:pPr>
            <w:proofErr w:type="gramStart"/>
            <w:r w:rsidRPr="00DA6D31">
              <w:rPr>
                <w:rFonts w:ascii="Times New Roman" w:hAnsi="Times New Roman" w:cs="Times New Roman"/>
                <w:color w:val="444444"/>
                <w:sz w:val="20"/>
                <w:szCs w:val="20"/>
              </w:rPr>
              <w:t>1,2,3</w:t>
            </w:r>
            <w:proofErr w:type="gramEnd"/>
          </w:p>
        </w:tc>
      </w:tr>
      <w:tr w:rsidR="00CA4C3D" w:rsidRPr="00DA6D31" w:rsidTr="00CA4C3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4C3D" w:rsidRPr="00DA6D31" w:rsidRDefault="00CA4C3D" w:rsidP="00A26D9A">
            <w:pPr>
              <w:spacing w:line="200" w:lineRule="atLeast"/>
              <w:jc w:val="both"/>
              <w:rPr>
                <w:rFonts w:ascii="Times New Roman" w:hAnsi="Times New Roman" w:cs="Times New Roman"/>
                <w:color w:val="000000" w:themeColor="text1"/>
                <w:sz w:val="20"/>
                <w:szCs w:val="20"/>
              </w:rPr>
            </w:pPr>
            <w:r w:rsidRPr="00DA6D31">
              <w:rPr>
                <w:rFonts w:ascii="Times New Roman" w:hAnsi="Times New Roman" w:cs="Times New Roman"/>
                <w:sz w:val="20"/>
                <w:szCs w:val="20"/>
              </w:rPr>
              <w:t xml:space="preserve">Finansal </w:t>
            </w:r>
            <w:proofErr w:type="gramStart"/>
            <w:r w:rsidRPr="00DA6D31">
              <w:rPr>
                <w:rFonts w:ascii="Times New Roman" w:hAnsi="Times New Roman" w:cs="Times New Roman"/>
                <w:sz w:val="20"/>
                <w:szCs w:val="20"/>
              </w:rPr>
              <w:t>kurumların  analiz</w:t>
            </w:r>
            <w:proofErr w:type="gramEnd"/>
            <w:r w:rsidRPr="00DA6D31">
              <w:rPr>
                <w:rFonts w:ascii="Times New Roman" w:hAnsi="Times New Roman" w:cs="Times New Roman"/>
                <w:sz w:val="20"/>
                <w:szCs w:val="20"/>
              </w:rPr>
              <w:t xml:space="preserve"> tekniklerini kavrama</w:t>
            </w:r>
          </w:p>
        </w:tc>
        <w:tc>
          <w:tcPr>
            <w:tcW w:w="592" w:type="pct"/>
            <w:tcBorders>
              <w:bottom w:val="single" w:sz="6" w:space="0" w:color="CCCCCC"/>
            </w:tcBorders>
            <w:shd w:val="clear" w:color="auto" w:fill="FFFFFF"/>
            <w:tcMar>
              <w:top w:w="15" w:type="dxa"/>
              <w:left w:w="80" w:type="dxa"/>
              <w:bottom w:w="15" w:type="dxa"/>
              <w:right w:w="15" w:type="dxa"/>
            </w:tcMar>
          </w:tcPr>
          <w:p w:rsidR="00CA4C3D" w:rsidRPr="00DA6D31" w:rsidRDefault="00CA4C3D" w:rsidP="00A26D9A">
            <w:pPr>
              <w:spacing w:line="240" w:lineRule="atLeast"/>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1,16</w:t>
            </w:r>
          </w:p>
        </w:tc>
        <w:tc>
          <w:tcPr>
            <w:tcW w:w="608" w:type="pct"/>
            <w:tcBorders>
              <w:bottom w:val="single" w:sz="6" w:space="0" w:color="CCCCCC"/>
            </w:tcBorders>
            <w:shd w:val="clear" w:color="auto" w:fill="FFFFFF"/>
            <w:vAlign w:val="center"/>
          </w:tcPr>
          <w:p w:rsidR="00CA4C3D" w:rsidRPr="00DA6D31" w:rsidRDefault="00DA6D31" w:rsidP="00A26D9A">
            <w:pPr>
              <w:spacing w:after="0" w:line="240" w:lineRule="atLeast"/>
              <w:jc w:val="both"/>
              <w:rPr>
                <w:rFonts w:ascii="Times New Roman" w:hAnsi="Times New Roman" w:cs="Times New Roman"/>
                <w:color w:val="444444"/>
                <w:sz w:val="20"/>
                <w:szCs w:val="20"/>
              </w:rPr>
            </w:pPr>
            <w:proofErr w:type="gramStart"/>
            <w:r w:rsidRPr="00DA6D31">
              <w:rPr>
                <w:rFonts w:ascii="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CA4C3D" w:rsidRPr="00DA6D31" w:rsidRDefault="00DA6D31" w:rsidP="00A26D9A">
            <w:pPr>
              <w:spacing w:after="0" w:line="256" w:lineRule="atLeast"/>
              <w:jc w:val="both"/>
              <w:rPr>
                <w:rFonts w:ascii="Times New Roman" w:hAnsi="Times New Roman" w:cs="Times New Roman"/>
                <w:color w:val="444444"/>
                <w:sz w:val="20"/>
                <w:szCs w:val="20"/>
              </w:rPr>
            </w:pPr>
            <w:proofErr w:type="gramStart"/>
            <w:r w:rsidRPr="00DA6D31">
              <w:rPr>
                <w:rFonts w:ascii="Times New Roman" w:hAnsi="Times New Roman" w:cs="Times New Roman"/>
                <w:color w:val="444444"/>
                <w:sz w:val="20"/>
                <w:szCs w:val="20"/>
              </w:rPr>
              <w:t>1,2,3</w:t>
            </w:r>
            <w:proofErr w:type="gramEnd"/>
          </w:p>
        </w:tc>
      </w:tr>
      <w:tr w:rsidR="00CA4C3D" w:rsidRPr="00DA6D31" w:rsidTr="00CA4C3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4C3D" w:rsidRPr="00DA6D31" w:rsidRDefault="00CA4C3D" w:rsidP="00A26D9A">
            <w:pPr>
              <w:spacing w:line="200" w:lineRule="atLeast"/>
              <w:jc w:val="both"/>
              <w:rPr>
                <w:rFonts w:ascii="Times New Roman" w:hAnsi="Times New Roman" w:cs="Times New Roman"/>
                <w:color w:val="000000" w:themeColor="text1"/>
                <w:sz w:val="20"/>
                <w:szCs w:val="20"/>
              </w:rPr>
            </w:pPr>
            <w:r w:rsidRPr="00DA6D31">
              <w:rPr>
                <w:rFonts w:ascii="Times New Roman" w:hAnsi="Times New Roman" w:cs="Times New Roman"/>
                <w:sz w:val="20"/>
                <w:szCs w:val="20"/>
              </w:rPr>
              <w:t>Finansal kurumların temel dinamıkleri</w:t>
            </w:r>
          </w:p>
        </w:tc>
        <w:tc>
          <w:tcPr>
            <w:tcW w:w="592" w:type="pct"/>
            <w:tcBorders>
              <w:bottom w:val="single" w:sz="6" w:space="0" w:color="CCCCCC"/>
            </w:tcBorders>
            <w:shd w:val="clear" w:color="auto" w:fill="FFFFFF"/>
            <w:tcMar>
              <w:top w:w="15" w:type="dxa"/>
              <w:left w:w="80" w:type="dxa"/>
              <w:bottom w:w="15" w:type="dxa"/>
              <w:right w:w="15" w:type="dxa"/>
            </w:tcMar>
          </w:tcPr>
          <w:p w:rsidR="00CA4C3D" w:rsidRPr="00DA6D31" w:rsidRDefault="00CA4C3D" w:rsidP="00A26D9A">
            <w:pPr>
              <w:spacing w:line="240" w:lineRule="atLeast"/>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 xml:space="preserve">18 </w:t>
            </w:r>
          </w:p>
        </w:tc>
        <w:tc>
          <w:tcPr>
            <w:tcW w:w="608" w:type="pct"/>
            <w:tcBorders>
              <w:bottom w:val="single" w:sz="6" w:space="0" w:color="CCCCCC"/>
            </w:tcBorders>
            <w:shd w:val="clear" w:color="auto" w:fill="FFFFFF"/>
            <w:vAlign w:val="center"/>
          </w:tcPr>
          <w:p w:rsidR="00CA4C3D" w:rsidRPr="00DA6D31" w:rsidRDefault="00DA6D31" w:rsidP="00A26D9A">
            <w:pPr>
              <w:spacing w:after="0" w:line="240" w:lineRule="atLeast"/>
              <w:jc w:val="both"/>
              <w:rPr>
                <w:rFonts w:ascii="Times New Roman" w:hAnsi="Times New Roman" w:cs="Times New Roman"/>
                <w:color w:val="444444"/>
                <w:sz w:val="20"/>
                <w:szCs w:val="20"/>
              </w:rPr>
            </w:pPr>
            <w:proofErr w:type="gramStart"/>
            <w:r w:rsidRPr="00DA6D31">
              <w:rPr>
                <w:rFonts w:ascii="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CA4C3D" w:rsidRPr="00DA6D31" w:rsidRDefault="00DA6D31" w:rsidP="00A26D9A">
            <w:pPr>
              <w:spacing w:after="0" w:line="256" w:lineRule="atLeast"/>
              <w:jc w:val="both"/>
              <w:rPr>
                <w:rFonts w:ascii="Times New Roman" w:hAnsi="Times New Roman" w:cs="Times New Roman"/>
                <w:color w:val="444444"/>
                <w:sz w:val="20"/>
                <w:szCs w:val="20"/>
              </w:rPr>
            </w:pPr>
            <w:proofErr w:type="gramStart"/>
            <w:r w:rsidRPr="00DA6D31">
              <w:rPr>
                <w:rFonts w:ascii="Times New Roman" w:hAnsi="Times New Roman" w:cs="Times New Roman"/>
                <w:color w:val="444444"/>
                <w:sz w:val="20"/>
                <w:szCs w:val="20"/>
              </w:rPr>
              <w:t>1,2,3</w:t>
            </w:r>
            <w:proofErr w:type="gramEnd"/>
          </w:p>
        </w:tc>
      </w:tr>
      <w:tr w:rsidR="00CA4C3D" w:rsidRPr="00DA6D31" w:rsidTr="00CA4C3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4C3D" w:rsidRPr="00DA6D31" w:rsidRDefault="00CA4C3D" w:rsidP="00A26D9A">
            <w:pPr>
              <w:spacing w:line="200" w:lineRule="atLeast"/>
              <w:jc w:val="both"/>
              <w:rPr>
                <w:rFonts w:ascii="Times New Roman" w:hAnsi="Times New Roman" w:cs="Times New Roman"/>
                <w:color w:val="000000" w:themeColor="text1"/>
                <w:sz w:val="20"/>
                <w:szCs w:val="20"/>
              </w:rPr>
            </w:pPr>
            <w:r w:rsidRPr="00DA6D31">
              <w:rPr>
                <w:rFonts w:ascii="Times New Roman" w:hAnsi="Times New Roman" w:cs="Times New Roman"/>
                <w:sz w:val="20"/>
                <w:szCs w:val="20"/>
              </w:rPr>
              <w:t>Finansal kurumlarda yönetim tekniklerinin incelenmesi</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CA4C3D" w:rsidRPr="00DA6D31" w:rsidRDefault="00CA4C3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hAnsi="Times New Roman" w:cs="Times New Roman"/>
                <w:color w:val="444444"/>
                <w:sz w:val="20"/>
                <w:szCs w:val="20"/>
              </w:rPr>
              <w:t>1,16</w:t>
            </w:r>
          </w:p>
        </w:tc>
        <w:tc>
          <w:tcPr>
            <w:tcW w:w="608" w:type="pct"/>
            <w:tcBorders>
              <w:bottom w:val="single" w:sz="6" w:space="0" w:color="CCCCCC"/>
            </w:tcBorders>
            <w:shd w:val="clear" w:color="auto" w:fill="FFFFFF"/>
            <w:vAlign w:val="center"/>
          </w:tcPr>
          <w:p w:rsidR="00CA4C3D" w:rsidRPr="00DA6D31" w:rsidRDefault="00DA6D31" w:rsidP="00A26D9A">
            <w:pPr>
              <w:spacing w:after="0" w:line="256" w:lineRule="atLeast"/>
              <w:jc w:val="both"/>
              <w:rPr>
                <w:rFonts w:ascii="Times New Roman" w:eastAsia="Times New Roman" w:hAnsi="Times New Roman" w:cs="Times New Roman"/>
                <w:color w:val="000000" w:themeColor="text1"/>
                <w:sz w:val="20"/>
                <w:szCs w:val="20"/>
              </w:rPr>
            </w:pPr>
            <w:proofErr w:type="gramStart"/>
            <w:r w:rsidRPr="00DA6D31">
              <w:rPr>
                <w:rFonts w:ascii="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CA4C3D" w:rsidRPr="00DA6D31" w:rsidRDefault="00DA6D31" w:rsidP="00A26D9A">
            <w:pPr>
              <w:spacing w:after="0" w:line="256" w:lineRule="atLeast"/>
              <w:jc w:val="both"/>
              <w:rPr>
                <w:rFonts w:ascii="Times New Roman" w:eastAsia="Times New Roman" w:hAnsi="Times New Roman" w:cs="Times New Roman"/>
                <w:color w:val="000000" w:themeColor="text1"/>
                <w:sz w:val="20"/>
                <w:szCs w:val="20"/>
              </w:rPr>
            </w:pPr>
            <w:proofErr w:type="gramStart"/>
            <w:r w:rsidRPr="00DA6D31">
              <w:rPr>
                <w:rFonts w:ascii="Times New Roman" w:hAnsi="Times New Roman" w:cs="Times New Roman"/>
                <w:color w:val="444444"/>
                <w:sz w:val="20"/>
                <w:szCs w:val="20"/>
              </w:rPr>
              <w:t>1,2,3</w:t>
            </w:r>
            <w:proofErr w:type="gramEnd"/>
          </w:p>
        </w:tc>
      </w:tr>
      <w:tr w:rsidR="00CA4C3D" w:rsidRPr="00DA6D31" w:rsidTr="00CA4C3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4C3D" w:rsidRPr="00DA6D31" w:rsidRDefault="00CA4C3D" w:rsidP="00A26D9A">
            <w:pPr>
              <w:spacing w:line="200" w:lineRule="atLeast"/>
              <w:jc w:val="both"/>
              <w:rPr>
                <w:rFonts w:ascii="Times New Roman" w:hAnsi="Times New Roman" w:cs="Times New Roman"/>
                <w:color w:val="000000" w:themeColor="text1"/>
                <w:sz w:val="20"/>
                <w:szCs w:val="20"/>
              </w:rPr>
            </w:pPr>
            <w:r w:rsidRPr="00DA6D31">
              <w:rPr>
                <w:rFonts w:ascii="Times New Roman" w:hAnsi="Times New Roman" w:cs="Times New Roman"/>
                <w:sz w:val="20"/>
                <w:szCs w:val="20"/>
              </w:rPr>
              <w:t>Risk türleri ve ölçülmesi ve yönetimi</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CA4C3D" w:rsidRPr="00DA6D31" w:rsidRDefault="00CA4C3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18</w:t>
            </w:r>
          </w:p>
        </w:tc>
        <w:tc>
          <w:tcPr>
            <w:tcW w:w="608" w:type="pct"/>
            <w:tcBorders>
              <w:bottom w:val="single" w:sz="6" w:space="0" w:color="CCCCCC"/>
            </w:tcBorders>
            <w:shd w:val="clear" w:color="auto" w:fill="FFFFFF"/>
            <w:vAlign w:val="center"/>
          </w:tcPr>
          <w:p w:rsidR="00CA4C3D" w:rsidRPr="00DA6D31" w:rsidRDefault="00DA6D31" w:rsidP="00A26D9A">
            <w:pPr>
              <w:spacing w:after="0" w:line="256" w:lineRule="atLeast"/>
              <w:jc w:val="both"/>
              <w:rPr>
                <w:rFonts w:ascii="Times New Roman" w:eastAsia="Times New Roman" w:hAnsi="Times New Roman" w:cs="Times New Roman"/>
                <w:color w:val="000000" w:themeColor="text1"/>
                <w:sz w:val="20"/>
                <w:szCs w:val="20"/>
              </w:rPr>
            </w:pPr>
            <w:proofErr w:type="gramStart"/>
            <w:r w:rsidRPr="00DA6D31">
              <w:rPr>
                <w:rFonts w:ascii="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CA4C3D" w:rsidRPr="00DA6D31" w:rsidRDefault="00DA6D31" w:rsidP="00A26D9A">
            <w:pPr>
              <w:spacing w:after="0" w:line="256" w:lineRule="atLeast"/>
              <w:jc w:val="both"/>
              <w:rPr>
                <w:rFonts w:ascii="Times New Roman" w:eastAsia="Times New Roman" w:hAnsi="Times New Roman" w:cs="Times New Roman"/>
                <w:color w:val="000000" w:themeColor="text1"/>
                <w:sz w:val="20"/>
                <w:szCs w:val="20"/>
              </w:rPr>
            </w:pPr>
            <w:proofErr w:type="gramStart"/>
            <w:r w:rsidRPr="00DA6D31">
              <w:rPr>
                <w:rFonts w:ascii="Times New Roman" w:hAnsi="Times New Roman" w:cs="Times New Roman"/>
                <w:color w:val="444444"/>
                <w:sz w:val="20"/>
                <w:szCs w:val="20"/>
              </w:rPr>
              <w:t>1,2,3</w:t>
            </w:r>
            <w:proofErr w:type="gramEnd"/>
            <w:r w:rsidRPr="00DA6D31">
              <w:rPr>
                <w:rFonts w:ascii="Times New Roman" w:hAnsi="Times New Roman" w:cs="Times New Roman"/>
                <w:color w:val="444444"/>
                <w:sz w:val="20"/>
                <w:szCs w:val="20"/>
              </w:rPr>
              <w:t xml:space="preserve"> </w:t>
            </w:r>
          </w:p>
        </w:tc>
      </w:tr>
    </w:tbl>
    <w:p w:rsidR="00134609" w:rsidRPr="00DA6D31" w:rsidRDefault="00134609" w:rsidP="00A26D9A">
      <w:pPr>
        <w:spacing w:after="0" w:line="240" w:lineRule="auto"/>
        <w:jc w:val="both"/>
        <w:rPr>
          <w:rFonts w:ascii="Times New Roman" w:eastAsia="Times New Roman" w:hAnsi="Times New Roman" w:cs="Times New Roman"/>
          <w:color w:val="000000" w:themeColor="text1"/>
          <w:sz w:val="20"/>
          <w:szCs w:val="20"/>
        </w:rPr>
      </w:pPr>
    </w:p>
    <w:p w:rsidR="00134609" w:rsidRPr="00DA6D31" w:rsidRDefault="00134609" w:rsidP="00A26D9A">
      <w:pPr>
        <w:spacing w:after="0" w:line="240" w:lineRule="auto"/>
        <w:jc w:val="both"/>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4"/>
        <w:gridCol w:w="7086"/>
      </w:tblGrid>
      <w:tr w:rsidR="00E04288" w:rsidRPr="00DA6D31"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jc w:val="both"/>
              <w:rPr>
                <w:rFonts w:ascii="Times New Roman" w:hAnsi="Times New Roman" w:cs="Times New Roman"/>
                <w:color w:val="000000" w:themeColor="text1"/>
                <w:sz w:val="20"/>
                <w:szCs w:val="20"/>
              </w:rPr>
            </w:pPr>
            <w:r w:rsidRPr="00DA6D31">
              <w:rPr>
                <w:rFonts w:ascii="Times New Roman" w:hAnsi="Times New Roman" w:cs="Times New Roman"/>
                <w:color w:val="000000" w:themeColor="text1"/>
                <w:sz w:val="20"/>
                <w:szCs w:val="20"/>
              </w:rPr>
              <w:t xml:space="preserve">1. Anlatım </w:t>
            </w:r>
            <w:proofErr w:type="gramStart"/>
            <w:r w:rsidRPr="00DA6D31">
              <w:rPr>
                <w:rFonts w:ascii="Times New Roman" w:hAnsi="Times New Roman" w:cs="Times New Roman"/>
                <w:color w:val="000000" w:themeColor="text1"/>
                <w:sz w:val="20"/>
                <w:szCs w:val="20"/>
              </w:rPr>
              <w:t>Yöntemi         2</w:t>
            </w:r>
            <w:proofErr w:type="gramEnd"/>
            <w:r w:rsidRPr="00DA6D31">
              <w:rPr>
                <w:rFonts w:ascii="Times New Roman" w:hAnsi="Times New Roman" w:cs="Times New Roman"/>
                <w:color w:val="000000" w:themeColor="text1"/>
                <w:sz w:val="20"/>
                <w:szCs w:val="20"/>
              </w:rPr>
              <w:t>. Örnek Olay Yöntemi      3. Problem Çözme Yöntemi</w:t>
            </w:r>
          </w:p>
          <w:p w:rsidR="006A2754" w:rsidRPr="00DA6D31" w:rsidRDefault="006A2754" w:rsidP="00BB13DE">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hAnsi="Times New Roman" w:cs="Times New Roman"/>
                <w:color w:val="000000" w:themeColor="text1"/>
                <w:sz w:val="20"/>
                <w:szCs w:val="20"/>
              </w:rPr>
              <w:t xml:space="preserve">4. Tartışma </w:t>
            </w:r>
            <w:proofErr w:type="spellStart"/>
            <w:proofErr w:type="gramStart"/>
            <w:r w:rsidRPr="00DA6D31">
              <w:rPr>
                <w:rFonts w:ascii="Times New Roman" w:hAnsi="Times New Roman" w:cs="Times New Roman"/>
                <w:color w:val="000000" w:themeColor="text1"/>
                <w:sz w:val="20"/>
                <w:szCs w:val="20"/>
              </w:rPr>
              <w:t>Yöntmi</w:t>
            </w:r>
            <w:proofErr w:type="spellEnd"/>
            <w:r w:rsidRPr="00DA6D31">
              <w:rPr>
                <w:rFonts w:ascii="Times New Roman" w:hAnsi="Times New Roman" w:cs="Times New Roman"/>
                <w:color w:val="000000" w:themeColor="text1"/>
                <w:sz w:val="20"/>
                <w:szCs w:val="20"/>
              </w:rPr>
              <w:t xml:space="preserve">          5</w:t>
            </w:r>
            <w:proofErr w:type="gramEnd"/>
            <w:r w:rsidRPr="00DA6D31">
              <w:rPr>
                <w:rFonts w:ascii="Times New Roman" w:hAnsi="Times New Roman" w:cs="Times New Roman"/>
                <w:color w:val="000000" w:themeColor="text1"/>
                <w:sz w:val="20"/>
                <w:szCs w:val="20"/>
              </w:rPr>
              <w:t>. Gösteri Yöntemi                    6. Grup çalışması</w:t>
            </w:r>
          </w:p>
        </w:tc>
      </w:tr>
      <w:tr w:rsidR="00E04288" w:rsidRPr="00DA6D31"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AB4281" w:rsidP="00A26D9A">
            <w:pPr>
              <w:jc w:val="both"/>
              <w:rPr>
                <w:rFonts w:ascii="Times New Roman" w:eastAsiaTheme="minorHAnsi" w:hAnsi="Times New Roman" w:cs="Times New Roman"/>
                <w:color w:val="000000" w:themeColor="text1"/>
                <w:sz w:val="20"/>
                <w:szCs w:val="20"/>
                <w:lang w:eastAsia="en-US"/>
              </w:rPr>
            </w:pPr>
            <w:r w:rsidRPr="00DA6D31">
              <w:rPr>
                <w:rFonts w:ascii="Times New Roman" w:hAnsi="Times New Roman" w:cs="Times New Roman"/>
                <w:color w:val="000000" w:themeColor="text1"/>
                <w:sz w:val="20"/>
                <w:szCs w:val="20"/>
              </w:rPr>
              <w:t xml:space="preserve">1. </w:t>
            </w:r>
            <w:proofErr w:type="gramStart"/>
            <w:r w:rsidRPr="00DA6D31">
              <w:rPr>
                <w:rFonts w:ascii="Times New Roman" w:hAnsi="Times New Roman" w:cs="Times New Roman"/>
                <w:color w:val="000000" w:themeColor="text1"/>
                <w:sz w:val="20"/>
                <w:szCs w:val="20"/>
              </w:rPr>
              <w:t>Sunum       2</w:t>
            </w:r>
            <w:proofErr w:type="gramEnd"/>
            <w:r w:rsidRPr="00DA6D31">
              <w:rPr>
                <w:rFonts w:ascii="Times New Roman" w:hAnsi="Times New Roman" w:cs="Times New Roman"/>
                <w:color w:val="000000" w:themeColor="text1"/>
                <w:sz w:val="20"/>
                <w:szCs w:val="20"/>
              </w:rPr>
              <w:t>. Ödev             3. Uygulama</w:t>
            </w:r>
          </w:p>
        </w:tc>
      </w:tr>
    </w:tbl>
    <w:p w:rsidR="006A2754" w:rsidRPr="00DA6D31" w:rsidRDefault="006A2754" w:rsidP="00A26D9A">
      <w:pPr>
        <w:spacing w:after="0" w:line="240" w:lineRule="auto"/>
        <w:jc w:val="both"/>
        <w:rPr>
          <w:rFonts w:ascii="Times New Roman" w:eastAsia="Times New Roman" w:hAnsi="Times New Roman" w:cs="Times New Roman"/>
          <w:color w:val="000000" w:themeColor="text1"/>
          <w:sz w:val="20"/>
          <w:szCs w:val="20"/>
        </w:rPr>
      </w:pPr>
    </w:p>
    <w:p w:rsidR="00E06EDC" w:rsidRPr="00DA6D31" w:rsidRDefault="00E06EDC" w:rsidP="00A26D9A">
      <w:pPr>
        <w:spacing w:after="0" w:line="240" w:lineRule="auto"/>
        <w:jc w:val="both"/>
        <w:rPr>
          <w:rFonts w:ascii="Times New Roman" w:eastAsia="Times New Roman" w:hAnsi="Times New Roman" w:cs="Times New Roman"/>
          <w:color w:val="000000" w:themeColor="text1"/>
          <w:sz w:val="20"/>
          <w:szCs w:val="20"/>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456"/>
        <w:gridCol w:w="225"/>
        <w:gridCol w:w="270"/>
        <w:gridCol w:w="270"/>
        <w:gridCol w:w="270"/>
        <w:gridCol w:w="270"/>
        <w:gridCol w:w="86"/>
      </w:tblGrid>
      <w:tr w:rsidR="00F414E7" w:rsidRPr="00DA6D31" w:rsidTr="00B13EAD">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b/>
                <w:color w:val="444444"/>
                <w:sz w:val="20"/>
                <w:szCs w:val="20"/>
              </w:rPr>
            </w:pPr>
            <w:r w:rsidRPr="00DA6D31">
              <w:rPr>
                <w:rFonts w:ascii="Times New Roman" w:hAnsi="Times New Roman" w:cs="Times New Roman"/>
                <w:b/>
                <w:bCs/>
                <w:color w:val="444444"/>
                <w:sz w:val="20"/>
                <w:szCs w:val="20"/>
              </w:rPr>
              <w:t xml:space="preserve">DERSİN PROGRAM ÇIKTILARINA KATKISI </w:t>
            </w:r>
          </w:p>
        </w:tc>
      </w:tr>
      <w:tr w:rsidR="00F414E7" w:rsidRPr="00DA6D31" w:rsidTr="00B13EAD">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Katkı Düzeyi</w:t>
            </w:r>
          </w:p>
        </w:tc>
      </w:tr>
      <w:tr w:rsidR="00F414E7" w:rsidRPr="00DA6D31" w:rsidTr="00B13EAD">
        <w:trPr>
          <w:tblCellSpacing w:w="15" w:type="dxa"/>
          <w:jc w:val="center"/>
        </w:trPr>
        <w:tc>
          <w:tcPr>
            <w:tcW w:w="0" w:type="auto"/>
            <w:vMerge/>
            <w:tcBorders>
              <w:bottom w:val="single" w:sz="6" w:space="0" w:color="CCCCCC"/>
            </w:tcBorders>
            <w:shd w:val="clear" w:color="auto" w:fill="ECEBEB"/>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5</w:t>
            </w: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r w:rsidRPr="00DA6D31">
              <w:rPr>
                <w:sz w:val="20"/>
                <w:szCs w:val="20"/>
              </w:rPr>
              <w:t xml:space="preserve">Bağımsız çalışma/proje/araştırma yapmak için gerekli bilgi </w:t>
            </w:r>
            <w:proofErr w:type="gramStart"/>
            <w:r w:rsidRPr="00DA6D31">
              <w:rPr>
                <w:sz w:val="20"/>
                <w:szCs w:val="20"/>
              </w:rPr>
              <w:t>birikimi , disiplin</w:t>
            </w:r>
            <w:proofErr w:type="gramEnd"/>
            <w:r w:rsidRPr="00DA6D31">
              <w:rPr>
                <w:sz w:val="20"/>
                <w:szCs w:val="20"/>
              </w:rPr>
              <w:t xml:space="preserve"> ve sorumluluğa sahip olur, ve konu ile ilgili kapsamlı bir araştırma ve/veya proje raporu hazırlayabilir.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000000"/>
                <w:sz w:val="20"/>
                <w:szCs w:val="20"/>
              </w:rPr>
            </w:pPr>
            <w:r w:rsidRPr="00DA6D31">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000000"/>
                <w:sz w:val="20"/>
                <w:szCs w:val="20"/>
              </w:rPr>
            </w:pPr>
            <w:r w:rsidRPr="00DA6D31">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r w:rsidRPr="00DA6D31">
              <w:rPr>
                <w:sz w:val="20"/>
                <w:szCs w:val="20"/>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r w:rsidRPr="00DA6D31">
              <w:rPr>
                <w:color w:val="000000"/>
                <w:sz w:val="20"/>
                <w:szCs w:val="20"/>
              </w:rPr>
              <w:t xml:space="preserve"> </w:t>
            </w:r>
            <w:r w:rsidRPr="00DA6D31">
              <w:rPr>
                <w:sz w:val="20"/>
                <w:szCs w:val="20"/>
              </w:rPr>
              <w:t xml:space="preserve">Eleştirel bakış açısına sahip olduğunu, kişisel ve profesyonel gelişimi için bilgi güncellemenin ve yaşam boyu öğrenmenin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r w:rsidRPr="00DA6D31">
              <w:rPr>
                <w:sz w:val="20"/>
                <w:szCs w:val="20"/>
              </w:rPr>
              <w:t xml:space="preserve">Ulusal ve uluslararası akademik ve profesyonel ortamlarda bilgisini, çalışmalarının sonuçlarını, fikir ve yorumlarını, alanındaki veya başka disiplin ve birikimdeki kişilere, gerekli verileri kullanarak açık ve net bir şekilde Türkçe veya İngilizce olarak ifade edebilir, sunabilir, paylaşabilir.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r w:rsidRPr="00DA6D31">
              <w:rPr>
                <w:sz w:val="20"/>
                <w:szCs w:val="20"/>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proofErr w:type="gramStart"/>
            <w:r w:rsidRPr="00DA6D31">
              <w:rPr>
                <w:sz w:val="20"/>
                <w:szCs w:val="20"/>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r w:rsidRPr="00DA6D31">
              <w:rPr>
                <w:sz w:val="20"/>
                <w:szCs w:val="20"/>
              </w:rPr>
              <w:t xml:space="preserve">Kültürler ve bireyler arasındaki farklılıklara saygı gösterilmesinin önemini anladığını gösterebilir, farklı kültürlerden bireylerin oluşturduğu sosyal ve profesyonel ortamlarda gerekli </w:t>
            </w:r>
            <w:proofErr w:type="gramStart"/>
            <w:r w:rsidRPr="00DA6D31">
              <w:rPr>
                <w:sz w:val="20"/>
                <w:szCs w:val="20"/>
              </w:rPr>
              <w:t>empatiyi</w:t>
            </w:r>
            <w:proofErr w:type="gramEnd"/>
            <w:r w:rsidRPr="00DA6D31">
              <w:rPr>
                <w:sz w:val="20"/>
                <w:szCs w:val="20"/>
              </w:rPr>
              <w:t xml:space="preserve"> göstererek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bCs/>
                <w:color w:val="444444"/>
                <w:sz w:val="20"/>
                <w:szCs w:val="20"/>
              </w:rPr>
            </w:pPr>
            <w:r w:rsidRPr="00DA6D31">
              <w:rPr>
                <w:rFonts w:ascii="Times New Roman" w:hAnsi="Times New Roman" w:cs="Times New Roman"/>
                <w:bCs/>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r w:rsidRPr="00DA6D31">
              <w:rPr>
                <w:sz w:val="20"/>
                <w:szCs w:val="20"/>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bCs/>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11</w:t>
            </w: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r w:rsidRPr="00DA6D31">
              <w:rPr>
                <w:sz w:val="20"/>
                <w:szCs w:val="20"/>
              </w:rPr>
              <w:t xml:space="preserve">İş etiği ve sosyal sorumluluk kavramlarına </w:t>
            </w:r>
            <w:proofErr w:type="gramStart"/>
            <w:r w:rsidRPr="00DA6D31">
              <w:rPr>
                <w:sz w:val="20"/>
                <w:szCs w:val="20"/>
              </w:rPr>
              <w:t>hakim</w:t>
            </w:r>
            <w:proofErr w:type="gramEnd"/>
            <w:r w:rsidRPr="00DA6D31">
              <w:rPr>
                <w:sz w:val="20"/>
                <w:szCs w:val="20"/>
              </w:rPr>
              <w:t xml:space="preserve"> olur, bu kavramların uygulamalarını değerlendirebilir ve bu ilkelere uygun davranmanın topluma değer katmak için ne derece önemli olduğunu anladığını gösterebilir. </w:t>
            </w: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bCs/>
                <w:color w:val="444444"/>
                <w:sz w:val="20"/>
                <w:szCs w:val="20"/>
              </w:rPr>
            </w:pPr>
            <w:r w:rsidRPr="00DA6D31">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12</w:t>
            </w:r>
          </w:p>
        </w:tc>
        <w:tc>
          <w:tcPr>
            <w:tcW w:w="0" w:type="auto"/>
            <w:shd w:val="clear" w:color="auto" w:fill="FFFFFF"/>
            <w:tcMar>
              <w:top w:w="15" w:type="dxa"/>
              <w:left w:w="80" w:type="dxa"/>
              <w:bottom w:w="15" w:type="dxa"/>
              <w:right w:w="15" w:type="dxa"/>
            </w:tcMar>
            <w:vAlign w:val="center"/>
          </w:tcPr>
          <w:p w:rsidR="00F414E7" w:rsidRPr="00DA6D31" w:rsidRDefault="00F414E7" w:rsidP="00A26D9A">
            <w:pPr>
              <w:pStyle w:val="ListParagraph"/>
              <w:ind w:left="0"/>
              <w:jc w:val="both"/>
              <w:rPr>
                <w:sz w:val="20"/>
                <w:szCs w:val="20"/>
              </w:rPr>
            </w:pPr>
            <w:r w:rsidRPr="00DA6D31">
              <w:rPr>
                <w:sz w:val="20"/>
                <w:szCs w:val="20"/>
              </w:rPr>
              <w:t xml:space="preserve">Sosyal sorumluluk kavramının bireysel, toplumsal ve </w:t>
            </w:r>
            <w:proofErr w:type="gramStart"/>
            <w:r w:rsidRPr="00DA6D31">
              <w:rPr>
                <w:sz w:val="20"/>
                <w:szCs w:val="20"/>
              </w:rPr>
              <w:t>ekolojik</w:t>
            </w:r>
            <w:proofErr w:type="gramEnd"/>
            <w:r w:rsidRPr="00DA6D31">
              <w:rPr>
                <w:sz w:val="20"/>
                <w:szCs w:val="20"/>
              </w:rPr>
              <w:t xml:space="preserve"> boyutlarını bilir, bu çerçeve içinde üzerine düşen aktif vatandaşlık görevini anladığını gösterebilir. </w:t>
            </w: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bCs/>
                <w:color w:val="444444"/>
                <w:sz w:val="20"/>
                <w:szCs w:val="20"/>
              </w:rPr>
            </w:pPr>
            <w:r w:rsidRPr="00DA6D31">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13</w:t>
            </w:r>
          </w:p>
        </w:tc>
        <w:tc>
          <w:tcPr>
            <w:tcW w:w="0" w:type="auto"/>
            <w:shd w:val="clear" w:color="auto" w:fill="FFFFFF"/>
            <w:tcMar>
              <w:top w:w="15" w:type="dxa"/>
              <w:left w:w="80" w:type="dxa"/>
              <w:bottom w:w="15" w:type="dxa"/>
              <w:right w:w="15" w:type="dxa"/>
            </w:tcMar>
            <w:vAlign w:val="center"/>
          </w:tcPr>
          <w:p w:rsidR="00F414E7" w:rsidRPr="00DA6D31" w:rsidRDefault="00F414E7" w:rsidP="00A26D9A">
            <w:pPr>
              <w:pStyle w:val="ListParagraph"/>
              <w:ind w:left="0"/>
              <w:jc w:val="both"/>
              <w:rPr>
                <w:sz w:val="20"/>
                <w:szCs w:val="20"/>
              </w:rPr>
            </w:pPr>
            <w:r w:rsidRPr="00DA6D31">
              <w:rPr>
                <w:sz w:val="20"/>
                <w:szCs w:val="20"/>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bCs/>
                <w:color w:val="444444"/>
                <w:sz w:val="20"/>
                <w:szCs w:val="20"/>
              </w:rPr>
            </w:pPr>
            <w:r w:rsidRPr="00DA6D31">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pStyle w:val="ListParagraph"/>
              <w:ind w:left="0"/>
              <w:jc w:val="both"/>
              <w:rPr>
                <w:sz w:val="20"/>
                <w:szCs w:val="20"/>
              </w:rPr>
            </w:pPr>
            <w:r w:rsidRPr="00DA6D31">
              <w:rPr>
                <w:sz w:val="20"/>
                <w:szCs w:val="20"/>
              </w:rPr>
              <w:t xml:space="preserve">Kurumsal sürdürülebilirlik için kalite yönetiminin, iş sağlığı ve güvenliğinin, kurumsal sosyal sorumluluğun, profesyonel ve kültürel saygının ve kurumsal etik prensiplerinin </w:t>
            </w:r>
            <w:r w:rsidRPr="00DA6D31">
              <w:rPr>
                <w:sz w:val="20"/>
                <w:szCs w:val="20"/>
              </w:rPr>
              <w:lastRenderedPageBreak/>
              <w:t xml:space="preserve">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bCs/>
                <w:color w:val="444444"/>
                <w:sz w:val="20"/>
                <w:szCs w:val="20"/>
              </w:rPr>
            </w:pPr>
            <w:r w:rsidRPr="00DA6D31">
              <w:rPr>
                <w:rFonts w:ascii="Times New Roman" w:hAnsi="Times New Roman" w:cs="Times New Roman"/>
                <w:bCs/>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15</w:t>
            </w: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pStyle w:val="ListParagraph"/>
              <w:ind w:left="0"/>
              <w:jc w:val="both"/>
              <w:rPr>
                <w:sz w:val="20"/>
                <w:szCs w:val="20"/>
              </w:rPr>
            </w:pPr>
            <w:proofErr w:type="gramStart"/>
            <w:r w:rsidRPr="00DA6D31">
              <w:rPr>
                <w:sz w:val="20"/>
                <w:szCs w:val="20"/>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roofErr w:type="gramEnd"/>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hideMark/>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16</w:t>
            </w:r>
          </w:p>
        </w:tc>
        <w:tc>
          <w:tcPr>
            <w:tcW w:w="0" w:type="auto"/>
            <w:shd w:val="clear" w:color="auto" w:fill="FFFFFF"/>
            <w:tcMar>
              <w:top w:w="15" w:type="dxa"/>
              <w:left w:w="80" w:type="dxa"/>
              <w:bottom w:w="15" w:type="dxa"/>
              <w:right w:w="15" w:type="dxa"/>
            </w:tcMar>
            <w:vAlign w:val="center"/>
          </w:tcPr>
          <w:p w:rsidR="00F414E7" w:rsidRPr="00DA6D31" w:rsidRDefault="00F414E7" w:rsidP="00A26D9A">
            <w:pPr>
              <w:pStyle w:val="ListParagraph"/>
              <w:ind w:left="0"/>
              <w:jc w:val="both"/>
              <w:rPr>
                <w:sz w:val="20"/>
                <w:szCs w:val="20"/>
              </w:rPr>
            </w:pPr>
            <w:r w:rsidRPr="00DA6D31">
              <w:rPr>
                <w:sz w:val="20"/>
                <w:szCs w:val="20"/>
              </w:rPr>
              <w:t xml:space="preserve">İşletme bilim alanını ve uzmanlık dallarını (yönetim ve organizasyon, muhasebe ve finansman, sayısal yöntemler, üretim ve pazarlama) çevreleyen hukuki, siyasi, </w:t>
            </w:r>
            <w:proofErr w:type="gramStart"/>
            <w:r w:rsidRPr="00DA6D31">
              <w:rPr>
                <w:sz w:val="20"/>
                <w:szCs w:val="20"/>
              </w:rPr>
              <w:t>ekonomik,</w:t>
            </w:r>
            <w:proofErr w:type="gramEnd"/>
            <w:r w:rsidRPr="00DA6D31">
              <w:rPr>
                <w:sz w:val="20"/>
                <w:szCs w:val="20"/>
              </w:rPr>
              <w:t xml:space="preserve"> ve sosyal konularda uluslararası boyutta temel bilgiye sahip olduğunu gösterebilir. </w:t>
            </w: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bCs/>
                <w:color w:val="444444"/>
                <w:sz w:val="20"/>
                <w:szCs w:val="20"/>
              </w:rPr>
            </w:pPr>
            <w:r w:rsidRPr="00DA6D31">
              <w:rPr>
                <w:rFonts w:ascii="Times New Roman" w:hAnsi="Times New Roman" w:cs="Times New Roman"/>
                <w:bCs/>
                <w:color w:val="444444"/>
                <w:sz w:val="20"/>
                <w:szCs w:val="20"/>
              </w:rPr>
              <w:t>X</w:t>
            </w: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17</w:t>
            </w:r>
          </w:p>
        </w:tc>
        <w:tc>
          <w:tcPr>
            <w:tcW w:w="0" w:type="auto"/>
            <w:shd w:val="clear" w:color="auto" w:fill="FFFFFF"/>
            <w:tcMar>
              <w:top w:w="15" w:type="dxa"/>
              <w:left w:w="80" w:type="dxa"/>
              <w:bottom w:w="15" w:type="dxa"/>
              <w:right w:w="15" w:type="dxa"/>
            </w:tcMar>
            <w:vAlign w:val="center"/>
          </w:tcPr>
          <w:p w:rsidR="00F414E7" w:rsidRPr="00DA6D31" w:rsidRDefault="00F414E7" w:rsidP="00A26D9A">
            <w:pPr>
              <w:pStyle w:val="ListParagraph"/>
              <w:ind w:left="0"/>
              <w:jc w:val="both"/>
              <w:rPr>
                <w:sz w:val="20"/>
                <w:szCs w:val="20"/>
              </w:rPr>
            </w:pPr>
            <w:r w:rsidRPr="00DA6D31">
              <w:rPr>
                <w:sz w:val="20"/>
                <w:szCs w:val="20"/>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bCs/>
                <w:color w:val="444444"/>
                <w:sz w:val="20"/>
                <w:szCs w:val="20"/>
              </w:rPr>
            </w:pPr>
            <w:r w:rsidRPr="00DA6D31">
              <w:rPr>
                <w:rFonts w:ascii="Times New Roman" w:hAnsi="Times New Roman" w:cs="Times New Roman"/>
                <w:bCs/>
                <w:color w:val="444444"/>
                <w:sz w:val="20"/>
                <w:szCs w:val="20"/>
              </w:rPr>
              <w:t>X</w:t>
            </w: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pStyle w:val="ListParagraph"/>
              <w:ind w:left="0"/>
              <w:jc w:val="both"/>
              <w:rPr>
                <w:sz w:val="20"/>
                <w:szCs w:val="20"/>
              </w:rPr>
            </w:pPr>
            <w:r w:rsidRPr="00DA6D31">
              <w:rPr>
                <w:sz w:val="20"/>
                <w:szCs w:val="20"/>
              </w:rPr>
              <w:t xml:space="preserve">Edindiği kuramsal, olgusal ve araştırma yöntemleri bilgileri ile nicel ve nitel verileri değerlendirebilir, yorumlayabilir, sorunları tanımlayabilir, veri analizi </w:t>
            </w:r>
            <w:proofErr w:type="gramStart"/>
            <w:r w:rsidRPr="00DA6D31">
              <w:rPr>
                <w:sz w:val="20"/>
                <w:szCs w:val="20"/>
              </w:rPr>
              <w:t>yapabilir,</w:t>
            </w:r>
            <w:proofErr w:type="gramEnd"/>
            <w:r w:rsidRPr="00DA6D31">
              <w:rPr>
                <w:sz w:val="20"/>
                <w:szCs w:val="20"/>
              </w:rPr>
              <w:t xml:space="preserve"> ve sonuçları değerlendirerek çözümler üretebilir.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bCs/>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shd w:val="clear" w:color="auto" w:fill="ECEBEB"/>
            <w:vAlign w:val="center"/>
          </w:tcPr>
          <w:p w:rsidR="00F414E7" w:rsidRPr="00DA6D31" w:rsidRDefault="00F414E7" w:rsidP="00A26D9A">
            <w:pPr>
              <w:jc w:val="both"/>
              <w:rPr>
                <w:rFonts w:ascii="Times New Roman" w:hAnsi="Times New Roman" w:cs="Times New Roman"/>
                <w:sz w:val="20"/>
                <w:szCs w:val="20"/>
              </w:rPr>
            </w:pPr>
          </w:p>
        </w:tc>
      </w:tr>
      <w:tr w:rsidR="00F414E7" w:rsidRPr="00DA6D31" w:rsidTr="00B13EAD">
        <w:trPr>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19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pStyle w:val="ListParagraph"/>
              <w:ind w:left="0"/>
              <w:jc w:val="both"/>
              <w:rPr>
                <w:sz w:val="20"/>
                <w:szCs w:val="20"/>
              </w:rPr>
            </w:pPr>
            <w:r w:rsidRPr="00DA6D31">
              <w:rPr>
                <w:sz w:val="20"/>
                <w:szCs w:val="20"/>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w:t>
            </w:r>
            <w:proofErr w:type="gramStart"/>
            <w:r w:rsidRPr="00DA6D31">
              <w:rPr>
                <w:sz w:val="20"/>
                <w:szCs w:val="20"/>
              </w:rPr>
              <w:t>oluşturabilir,</w:t>
            </w:r>
            <w:proofErr w:type="gramEnd"/>
            <w:r w:rsidRPr="00DA6D31">
              <w:rPr>
                <w:sz w:val="20"/>
                <w:szCs w:val="20"/>
              </w:rPr>
              <w:t xml:space="preserve"> ve disiplinlerarası etkileşimi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bCs/>
                <w:color w:val="444444"/>
                <w:sz w:val="20"/>
                <w:szCs w:val="20"/>
              </w:rPr>
            </w:pPr>
            <w:r w:rsidRPr="00DA6D31">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414E7" w:rsidRPr="00DA6D31" w:rsidRDefault="00F414E7" w:rsidP="00A26D9A">
            <w:pPr>
              <w:jc w:val="both"/>
              <w:rPr>
                <w:rFonts w:ascii="Times New Roman" w:hAnsi="Times New Roman" w:cs="Times New Roman"/>
                <w:color w:val="444444"/>
                <w:sz w:val="20"/>
                <w:szCs w:val="20"/>
              </w:rPr>
            </w:pPr>
          </w:p>
        </w:tc>
        <w:tc>
          <w:tcPr>
            <w:tcW w:w="0" w:type="auto"/>
            <w:tcBorders>
              <w:bottom w:val="single" w:sz="2" w:space="0" w:color="888888"/>
              <w:right w:val="single" w:sz="2" w:space="0" w:color="888888"/>
            </w:tcBorders>
            <w:shd w:val="clear" w:color="auto" w:fill="ECEBEB"/>
            <w:vAlign w:val="center"/>
          </w:tcPr>
          <w:p w:rsidR="00F414E7" w:rsidRPr="00DA6D31" w:rsidRDefault="00F414E7" w:rsidP="00A26D9A">
            <w:pPr>
              <w:jc w:val="both"/>
              <w:rPr>
                <w:rFonts w:ascii="Times New Roman" w:hAnsi="Times New Roman" w:cs="Times New Roman"/>
                <w:sz w:val="20"/>
                <w:szCs w:val="20"/>
              </w:rPr>
            </w:pPr>
          </w:p>
        </w:tc>
      </w:tr>
    </w:tbl>
    <w:p w:rsidR="00F414E7" w:rsidRPr="00DA6D31" w:rsidRDefault="00F414E7" w:rsidP="00A26D9A">
      <w:pPr>
        <w:spacing w:after="0" w:line="240" w:lineRule="auto"/>
        <w:jc w:val="both"/>
        <w:rPr>
          <w:rFonts w:ascii="Times New Roman" w:eastAsia="Times New Roman" w:hAnsi="Times New Roman" w:cs="Times New Roman"/>
          <w:color w:val="000000" w:themeColor="text1"/>
          <w:sz w:val="20"/>
          <w:szCs w:val="20"/>
        </w:rPr>
      </w:pPr>
    </w:p>
    <w:p w:rsidR="00E06EDC" w:rsidRPr="00DA6D31" w:rsidRDefault="00E06EDC" w:rsidP="00A26D9A">
      <w:pPr>
        <w:spacing w:after="0" w:line="240" w:lineRule="auto"/>
        <w:jc w:val="both"/>
        <w:rPr>
          <w:rFonts w:ascii="Times New Roman" w:eastAsia="Times New Roman" w:hAnsi="Times New Roman" w:cs="Times New Roman"/>
          <w:color w:val="000000" w:themeColor="text1"/>
          <w:sz w:val="20"/>
          <w:szCs w:val="20"/>
        </w:rPr>
      </w:pPr>
    </w:p>
    <w:p w:rsidR="00E06EDC" w:rsidRPr="00DA6D31" w:rsidRDefault="00E06EDC" w:rsidP="00A26D9A">
      <w:pPr>
        <w:spacing w:after="0" w:line="240" w:lineRule="auto"/>
        <w:jc w:val="both"/>
        <w:rPr>
          <w:rFonts w:ascii="Times New Roman" w:eastAsia="Times New Roman" w:hAnsi="Times New Roman" w:cs="Times New Roman"/>
          <w:color w:val="000000" w:themeColor="text1"/>
          <w:sz w:val="20"/>
          <w:szCs w:val="20"/>
        </w:rPr>
      </w:pPr>
    </w:p>
    <w:p w:rsidR="00E06EDC" w:rsidRPr="00DA6D31" w:rsidRDefault="00E06EDC" w:rsidP="00A26D9A">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2"/>
        <w:gridCol w:w="6428"/>
        <w:gridCol w:w="1718"/>
      </w:tblGrid>
      <w:tr w:rsidR="00E04288" w:rsidRPr="00DA6D31"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 AKIŞI</w:t>
            </w:r>
          </w:p>
        </w:tc>
      </w:tr>
      <w:tr w:rsidR="00E04288" w:rsidRPr="00DA6D31"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Ön Hazırlık</w:t>
            </w:r>
          </w:p>
        </w:tc>
      </w:tr>
      <w:tr w:rsidR="00A63992"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hAnsi="Times New Roman" w:cs="Times New Roman"/>
                <w:sz w:val="20"/>
                <w:szCs w:val="20"/>
              </w:rPr>
              <w:t xml:space="preserve">Para Ekonomisi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p>
        </w:tc>
      </w:tr>
      <w:tr w:rsidR="00A63992"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hAnsi="Times New Roman" w:cs="Times New Roman"/>
                <w:sz w:val="20"/>
                <w:szCs w:val="20"/>
              </w:rPr>
              <w:t>Finansal Sistemin Temel Dinamikleri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Sermaye Piyasası Kurumları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Sermaye piyasası araçları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Para piyasası araçları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Faiz sisteminin temelleri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Bankacılık sistemi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Aktif-Pasif Yönetimi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Sermaye Piyasası Kurumları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Sermaye piyasası araçları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Para piyasası araçları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F71BDD"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71BDD" w:rsidRPr="00DA6D31" w:rsidRDefault="0060592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hAnsi="Times New Roman" w:cs="Times New Roman"/>
                <w:sz w:val="20"/>
                <w:szCs w:val="20"/>
              </w:rPr>
              <w:t>Kredi derecelendirme şirketleri</w:t>
            </w:r>
            <w:r w:rsidR="006312AC">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71BDD" w:rsidRPr="00DA6D31" w:rsidRDefault="00F71BDD" w:rsidP="00A26D9A">
            <w:pPr>
              <w:spacing w:after="0" w:line="256" w:lineRule="atLeast"/>
              <w:jc w:val="both"/>
              <w:rPr>
                <w:rFonts w:ascii="Times New Roman" w:eastAsia="Times New Roman" w:hAnsi="Times New Roman" w:cs="Times New Roman"/>
                <w:color w:val="000000" w:themeColor="text1"/>
                <w:sz w:val="20"/>
                <w:szCs w:val="20"/>
              </w:rPr>
            </w:pPr>
          </w:p>
        </w:tc>
      </w:tr>
      <w:tr w:rsidR="006312AC" w:rsidRPr="00DA6D3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312AC" w:rsidRPr="00DA6D31" w:rsidRDefault="006312AC"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312AC" w:rsidRPr="00DA6D31" w:rsidRDefault="006312AC" w:rsidP="00E76A77">
            <w:pPr>
              <w:spacing w:after="0" w:line="256" w:lineRule="atLeast"/>
              <w:jc w:val="both"/>
              <w:rPr>
                <w:rFonts w:ascii="Times New Roman" w:hAnsi="Times New Roman" w:cs="Times New Roman"/>
                <w:color w:val="444444"/>
                <w:sz w:val="20"/>
                <w:szCs w:val="20"/>
              </w:rPr>
            </w:pPr>
            <w:r w:rsidRPr="00DA6D31">
              <w:rPr>
                <w:rFonts w:ascii="Times New Roman" w:hAnsi="Times New Roman" w:cs="Times New Roman"/>
                <w:color w:val="444444"/>
                <w:sz w:val="20"/>
                <w:szCs w:val="20"/>
              </w:rPr>
              <w:t xml:space="preserve">Final Sınavı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312AC" w:rsidRPr="00DA6D31" w:rsidRDefault="006312AC" w:rsidP="00A26D9A">
            <w:pPr>
              <w:spacing w:after="0" w:line="256" w:lineRule="atLeast"/>
              <w:jc w:val="both"/>
              <w:rPr>
                <w:rFonts w:ascii="Times New Roman" w:eastAsia="Times New Roman" w:hAnsi="Times New Roman" w:cs="Times New Roman"/>
                <w:color w:val="000000" w:themeColor="text1"/>
                <w:sz w:val="20"/>
                <w:szCs w:val="20"/>
              </w:rPr>
            </w:pPr>
          </w:p>
        </w:tc>
      </w:tr>
    </w:tbl>
    <w:p w:rsidR="006A2754" w:rsidRPr="00DA6D31" w:rsidRDefault="006A2754" w:rsidP="00A26D9A">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E04288" w:rsidRPr="00DA6D31"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lastRenderedPageBreak/>
              <w:t>KAYNAKLAR</w:t>
            </w:r>
          </w:p>
        </w:tc>
      </w:tr>
      <w:tr w:rsidR="00A63992" w:rsidRPr="00DA6D31"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A6D31" w:rsidRDefault="0060592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hAnsi="Times New Roman" w:cs="Times New Roman"/>
                <w:sz w:val="20"/>
                <w:szCs w:val="20"/>
              </w:rPr>
              <w:t>Miskhin, Frederic, Financial Markets, Institutions, and Money</w:t>
            </w:r>
          </w:p>
        </w:tc>
      </w:tr>
      <w:tr w:rsidR="00A63992" w:rsidRPr="00DA6D31"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A6D31" w:rsidRDefault="00A6399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A6D31" w:rsidRDefault="00760A9A" w:rsidP="00A26D9A">
            <w:pPr>
              <w:spacing w:after="0" w:line="288"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 xml:space="preserve"> </w:t>
            </w:r>
          </w:p>
        </w:tc>
      </w:tr>
    </w:tbl>
    <w:p w:rsidR="006A2754" w:rsidRPr="00DA6D31" w:rsidRDefault="006A2754" w:rsidP="00A26D9A">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E04288" w:rsidRPr="00DA6D31"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MATERYAL PAYLAŞIMI </w:t>
            </w:r>
          </w:p>
        </w:tc>
      </w:tr>
      <w:tr w:rsidR="00E04288" w:rsidRPr="00DA6D31"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DA6D31" w:rsidP="00DA6D31">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 xml:space="preserve">Derste anlatılan konularla ilgili alıştırmalar, konularla ilgili ek bilgi içeren dokümanlar. </w:t>
            </w:r>
          </w:p>
        </w:tc>
      </w:tr>
      <w:tr w:rsidR="00E04288" w:rsidRPr="00DA6D31"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DA6D31"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 xml:space="preserve">Konulara ilişkin ayrı ödevler </w:t>
            </w:r>
          </w:p>
        </w:tc>
      </w:tr>
      <w:tr w:rsidR="00E04288" w:rsidRPr="00DA6D31"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p>
        </w:tc>
      </w:tr>
    </w:tbl>
    <w:p w:rsidR="006A2754" w:rsidRPr="00DA6D31" w:rsidRDefault="006A2754" w:rsidP="00A26D9A">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E04288" w:rsidRPr="00DA6D31"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DEĞERLENDİRME SİSTEMİ</w:t>
            </w:r>
          </w:p>
        </w:tc>
      </w:tr>
      <w:tr w:rsidR="00E04288" w:rsidRPr="00DA6D3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A6D31" w:rsidRDefault="006A2754"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KATKI YÜZDESİ</w:t>
            </w:r>
          </w:p>
        </w:tc>
      </w:tr>
      <w:tr w:rsidR="00605922" w:rsidRPr="00DA6D31" w:rsidTr="001B7B3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05922" w:rsidRPr="00DA6D31" w:rsidRDefault="0060592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50</w:t>
            </w:r>
          </w:p>
        </w:tc>
      </w:tr>
      <w:tr w:rsidR="00605922" w:rsidRPr="00DA6D31" w:rsidTr="001B7B3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05922" w:rsidRPr="00DA6D31" w:rsidRDefault="0060592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Ara Ödev</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0</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0</w:t>
            </w:r>
          </w:p>
        </w:tc>
      </w:tr>
      <w:tr w:rsidR="00605922" w:rsidRPr="00DA6D31" w:rsidTr="001B7B3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05922" w:rsidRPr="00DA6D31" w:rsidRDefault="0060592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color w:val="000000" w:themeColor="text1"/>
                <w:sz w:val="20"/>
                <w:szCs w:val="20"/>
              </w:rPr>
              <w:t>Final Ödevi</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50</w:t>
            </w:r>
          </w:p>
        </w:tc>
      </w:tr>
      <w:tr w:rsidR="00605922" w:rsidRPr="00DA6D31" w:rsidTr="001B7B3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05922" w:rsidRPr="00DA6D31" w:rsidRDefault="0060592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b/>
                <w:sz w:val="20"/>
                <w:szCs w:val="20"/>
              </w:rPr>
            </w:pPr>
            <w:r w:rsidRPr="00DA6D31">
              <w:rPr>
                <w:rFonts w:ascii="Times New Roman" w:hAnsi="Times New Roman" w:cs="Times New Roman"/>
                <w:b/>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b/>
                <w:sz w:val="20"/>
                <w:szCs w:val="20"/>
              </w:rPr>
            </w:pPr>
            <w:r w:rsidRPr="00DA6D31">
              <w:rPr>
                <w:rFonts w:ascii="Times New Roman" w:hAnsi="Times New Roman" w:cs="Times New Roman"/>
                <w:b/>
                <w:sz w:val="20"/>
                <w:szCs w:val="20"/>
              </w:rPr>
              <w:t>100</w:t>
            </w:r>
          </w:p>
        </w:tc>
      </w:tr>
      <w:tr w:rsidR="00605922" w:rsidRPr="00DA6D31" w:rsidTr="001B7B3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05922" w:rsidRPr="00DA6D31" w:rsidRDefault="0060592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40</w:t>
            </w:r>
          </w:p>
        </w:tc>
      </w:tr>
      <w:tr w:rsidR="00605922" w:rsidRPr="00DA6D31" w:rsidTr="001B7B3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05922" w:rsidRPr="00DA6D31" w:rsidRDefault="0060592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 xml:space="preserve">Yıl içinin Başarıya Oranı </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60</w:t>
            </w:r>
          </w:p>
        </w:tc>
      </w:tr>
      <w:tr w:rsidR="00605922" w:rsidRPr="00DA6D31" w:rsidTr="001B7B3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05922" w:rsidRPr="00DA6D31" w:rsidRDefault="00605922" w:rsidP="00A26D9A">
            <w:pPr>
              <w:spacing w:after="0" w:line="256" w:lineRule="atLeast"/>
              <w:jc w:val="both"/>
              <w:rPr>
                <w:rFonts w:ascii="Times New Roman" w:eastAsia="Times New Roman" w:hAnsi="Times New Roman" w:cs="Times New Roman"/>
                <w:color w:val="000000" w:themeColor="text1"/>
                <w:sz w:val="20"/>
                <w:szCs w:val="20"/>
              </w:rPr>
            </w:pPr>
            <w:r w:rsidRPr="00DA6D31">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sz w:val="20"/>
                <w:szCs w:val="20"/>
              </w:rPr>
            </w:pPr>
            <w:r w:rsidRPr="00DA6D31">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tcPr>
          <w:p w:rsidR="00605922" w:rsidRPr="00DA6D31" w:rsidRDefault="00605922" w:rsidP="00A26D9A">
            <w:pPr>
              <w:jc w:val="both"/>
              <w:rPr>
                <w:rFonts w:ascii="Times New Roman" w:hAnsi="Times New Roman" w:cs="Times New Roman"/>
                <w:b/>
                <w:sz w:val="20"/>
                <w:szCs w:val="20"/>
              </w:rPr>
            </w:pPr>
            <w:r w:rsidRPr="00DA6D31">
              <w:rPr>
                <w:rFonts w:ascii="Times New Roman" w:hAnsi="Times New Roman" w:cs="Times New Roman"/>
                <w:b/>
                <w:sz w:val="20"/>
                <w:szCs w:val="20"/>
              </w:rPr>
              <w:t xml:space="preserve">100 </w:t>
            </w:r>
          </w:p>
        </w:tc>
      </w:tr>
    </w:tbl>
    <w:p w:rsidR="006A2754" w:rsidRPr="00DA6D31" w:rsidRDefault="006A2754" w:rsidP="00A26D9A">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BB13DE"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BB13DE"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23099D" w:rsidRDefault="00BB13D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Ders Süresi (Sınav haftası </w:t>
            </w:r>
            <w:proofErr w:type="gramStart"/>
            <w:r w:rsidRPr="0023099D">
              <w:rPr>
                <w:rFonts w:ascii="Times New Roman" w:hAnsi="Times New Roman" w:cs="Times New Roman"/>
                <w:color w:val="444444"/>
                <w:sz w:val="20"/>
                <w:szCs w:val="19"/>
              </w:rPr>
              <w:t>dahildir</w:t>
            </w:r>
            <w:proofErr w:type="gramEnd"/>
            <w:r w:rsidRPr="0023099D">
              <w:rPr>
                <w:rFonts w:ascii="Times New Roman" w:hAnsi="Times New Roman" w:cs="Times New Roman"/>
                <w:color w:val="444444"/>
                <w:sz w:val="20"/>
                <w:szCs w:val="19"/>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23099D" w:rsidRDefault="00BB13D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23099D" w:rsidRDefault="00BB13D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23099D" w:rsidRDefault="00BB13D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23099D" w:rsidRDefault="00BB13DE"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23099D" w:rsidRDefault="00BB13DE"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lastRenderedPageBreak/>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23099D" w:rsidRDefault="00BB13DE"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E04288" w:rsidRDefault="00BB13DE"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E04288" w:rsidRDefault="00BB13DE"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BB13DE"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E04288" w:rsidRDefault="00BB13DE"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B13DE" w:rsidRPr="00E04288" w:rsidRDefault="00BB13DE"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DA6D31" w:rsidRDefault="006A2754" w:rsidP="00A26D9A">
      <w:pPr>
        <w:jc w:val="both"/>
        <w:rPr>
          <w:rFonts w:ascii="Times New Roman" w:hAnsi="Times New Roman" w:cs="Times New Roman"/>
          <w:color w:val="000000" w:themeColor="text1"/>
          <w:sz w:val="20"/>
          <w:szCs w:val="20"/>
        </w:rPr>
      </w:pPr>
    </w:p>
    <w:p w:rsidR="00BF019B" w:rsidRPr="00DA6D31" w:rsidRDefault="00BF019B" w:rsidP="00A26D9A">
      <w:pPr>
        <w:jc w:val="both"/>
        <w:rPr>
          <w:rFonts w:ascii="Times New Roman" w:hAnsi="Times New Roman" w:cs="Times New Roman"/>
          <w:sz w:val="20"/>
          <w:szCs w:val="20"/>
        </w:rPr>
      </w:pPr>
    </w:p>
    <w:sectPr w:rsidR="00BF019B" w:rsidRPr="00DA6D31"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134609"/>
    <w:rsid w:val="00267BBB"/>
    <w:rsid w:val="00283227"/>
    <w:rsid w:val="00286580"/>
    <w:rsid w:val="002A23C1"/>
    <w:rsid w:val="002D6C1A"/>
    <w:rsid w:val="004B2ED6"/>
    <w:rsid w:val="004C3C21"/>
    <w:rsid w:val="005119F9"/>
    <w:rsid w:val="005E5DDD"/>
    <w:rsid w:val="00605922"/>
    <w:rsid w:val="006312AC"/>
    <w:rsid w:val="006747B6"/>
    <w:rsid w:val="006A2754"/>
    <w:rsid w:val="00754AC4"/>
    <w:rsid w:val="00754CBB"/>
    <w:rsid w:val="00760A9A"/>
    <w:rsid w:val="007647C8"/>
    <w:rsid w:val="007E5AB3"/>
    <w:rsid w:val="008A68CD"/>
    <w:rsid w:val="00933803"/>
    <w:rsid w:val="00933D35"/>
    <w:rsid w:val="009C6431"/>
    <w:rsid w:val="00A26D9A"/>
    <w:rsid w:val="00A63992"/>
    <w:rsid w:val="00AB4281"/>
    <w:rsid w:val="00AC597A"/>
    <w:rsid w:val="00BA02CF"/>
    <w:rsid w:val="00BB13DE"/>
    <w:rsid w:val="00BB457F"/>
    <w:rsid w:val="00BF019B"/>
    <w:rsid w:val="00C83820"/>
    <w:rsid w:val="00CA4C3D"/>
    <w:rsid w:val="00D14A5D"/>
    <w:rsid w:val="00DA6D31"/>
    <w:rsid w:val="00E04288"/>
    <w:rsid w:val="00E06EDC"/>
    <w:rsid w:val="00EA51D7"/>
    <w:rsid w:val="00EE7F90"/>
    <w:rsid w:val="00F414E7"/>
    <w:rsid w:val="00F71BDD"/>
    <w:rsid w:val="00FA50B8"/>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BC353-8E57-4218-AB9B-45315C09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F414E7"/>
    <w:pPr>
      <w:spacing w:after="0" w:line="240" w:lineRule="auto"/>
      <w:ind w:left="720"/>
      <w:contextualSpacing/>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2</cp:revision>
  <dcterms:created xsi:type="dcterms:W3CDTF">2017-06-07T13:21:00Z</dcterms:created>
  <dcterms:modified xsi:type="dcterms:W3CDTF">2017-06-07T13:21:00Z</dcterms:modified>
</cp:coreProperties>
</file>