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1766"/>
        <w:gridCol w:w="1210"/>
        <w:gridCol w:w="1685"/>
        <w:gridCol w:w="1041"/>
        <w:gridCol w:w="1085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8621BC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bookmarkStart w:id="0" w:name="_GoBack"/>
            <w:bookmarkEnd w:id="0"/>
            <w:r w:rsidRPr="008621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B966B5" w:rsidRPr="008621BC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B966B5" w:rsidRPr="008621BC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İletişim Kuramları ve Araştırmaları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MCM 506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B966B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6663"/>
      </w:tblGrid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6698"/>
      </w:tblGrid>
      <w:tr w:rsidR="00660279" w:rsidRPr="008621BC" w:rsidTr="00F35D57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057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t xml:space="preserve">İngilizce </w:t>
            </w:r>
          </w:p>
        </w:tc>
      </w:tr>
      <w:tr w:rsidR="00660279" w:rsidRPr="008621BC" w:rsidTr="00F35D57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621BC" w:rsidTr="00F35D57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660279" w:rsidRPr="008621BC" w:rsidTr="00F35D57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057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F35D57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0573" w:rsidP="00B966B5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Yrd. Doç. Dr.</w:t>
            </w:r>
            <w:r w:rsidR="00B966B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Kaan Taşbaşı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279" w:rsidRPr="008621BC" w:rsidTr="00F35D57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35D57" w:rsidRPr="008621BC" w:rsidTr="00F35D57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8621BC" w:rsidRDefault="00F35D5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D627CD" w:rsidRDefault="00F35D57" w:rsidP="000A2BC8">
            <w:pPr>
              <w:pStyle w:val="Balk2"/>
              <w:spacing w:line="36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Bu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ders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iletişim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bilimlerinin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temel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kuramsal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yaklaşımlarını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eleştirel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bir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perspektiften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ele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alacaktır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F35D57" w:rsidRPr="008621BC" w:rsidTr="00F35D57">
        <w:trPr>
          <w:trHeight w:val="450"/>
          <w:tblCellSpacing w:w="15" w:type="dxa"/>
          <w:jc w:val="center"/>
        </w:trPr>
        <w:tc>
          <w:tcPr>
            <w:tcW w:w="18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8621BC" w:rsidRDefault="00F35D5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D627CD" w:rsidRDefault="00F35D57" w:rsidP="000A2BC8">
            <w:pPr>
              <w:pStyle w:val="Balk2"/>
              <w:spacing w:line="360" w:lineRule="auto"/>
              <w:rPr>
                <w:rFonts w:ascii="Verdana" w:hAnsi="Verdana"/>
                <w:b w:val="0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Derste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iletişim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medyaya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dair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olgu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sorun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konular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tarihsel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bir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bağlam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içinde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ekonomik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politik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toplumsal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yönleriyle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incelenecektir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Dersi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tamamlayan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öğrenci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, alanine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kuramsal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bilgisini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kavrayacak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Alana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dair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eleştirel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değerlendirme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ve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karşılaştırma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kapasitesine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0"/>
                <w:szCs w:val="20"/>
              </w:rPr>
              <w:t>kavuşacaktır</w:t>
            </w:r>
            <w:proofErr w:type="spellEnd"/>
            <w:r>
              <w:rPr>
                <w:rFonts w:ascii="Verdana" w:hAnsi="Verdana"/>
                <w:b w:val="0"/>
                <w:sz w:val="20"/>
                <w:szCs w:val="20"/>
              </w:rPr>
              <w:t xml:space="preserve">. </w:t>
            </w:r>
          </w:p>
          <w:p w:rsidR="00F35D57" w:rsidRPr="00D627CD" w:rsidRDefault="00F35D57" w:rsidP="000A2BC8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9"/>
        <w:gridCol w:w="1986"/>
        <w:gridCol w:w="1220"/>
        <w:gridCol w:w="1305"/>
      </w:tblGrid>
      <w:tr w:rsidR="00CC1930" w:rsidRPr="008621BC" w:rsidTr="00704BDA">
        <w:trPr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8621BC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8621BC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F35D57" w:rsidRPr="008621BC" w:rsidTr="0016728A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822C85" w:rsidRDefault="00F35D57" w:rsidP="00F35D57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Alanın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disiplinlerarası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karakteri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anlar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ve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kavrar</w:t>
            </w:r>
            <w:proofErr w:type="spellEnd"/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8621BC" w:rsidRDefault="00F35D5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</w:tcPr>
          <w:p w:rsidR="00F35D57" w:rsidRDefault="00F35D57">
            <w:proofErr w:type="gramStart"/>
            <w:r w:rsidRPr="00BC61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8621BC" w:rsidRDefault="00F35D5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  <w:tr w:rsidR="00F35D57" w:rsidRPr="008621BC" w:rsidTr="00105C84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822C85" w:rsidRDefault="00F35D57" w:rsidP="00F35D57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Eleştirel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düşünce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geleneğini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ayırt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en-US" w:eastAsia="en-US"/>
              </w:rPr>
              <w:t>eder</w:t>
            </w:r>
            <w:proofErr w:type="spellEnd"/>
            <w:proofErr w:type="gramEnd"/>
            <w:r w:rsidRPr="00822C85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8621BC" w:rsidRDefault="00F35D57" w:rsidP="0026514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</w:tcPr>
          <w:p w:rsidR="00F35D57" w:rsidRDefault="00F35D57">
            <w:proofErr w:type="gramStart"/>
            <w:r w:rsidRPr="00BC61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35D57" w:rsidRDefault="00F35D57">
            <w:r w:rsidRPr="00B8538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  <w:tr w:rsidR="00F35D57" w:rsidRPr="008621BC" w:rsidTr="00105C84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822C85" w:rsidRDefault="00F35D57" w:rsidP="00F35D57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Ana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akım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düşünceyi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eleştirir</w:t>
            </w:r>
            <w:proofErr w:type="spellEnd"/>
            <w:r w:rsidRPr="00822C85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8621BC" w:rsidRDefault="00F35D57" w:rsidP="0026514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</w:tcPr>
          <w:p w:rsidR="00F35D57" w:rsidRDefault="00F35D57">
            <w:proofErr w:type="gramStart"/>
            <w:r w:rsidRPr="00BC61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F35D57" w:rsidRDefault="00F35D57">
            <w:r w:rsidRPr="00B8538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  <w:tr w:rsidR="00F35D57" w:rsidRPr="008621BC" w:rsidTr="00105C84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822C85" w:rsidRDefault="00F35D57" w:rsidP="00F35D57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Kuramsal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açıklama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ve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açımlamaları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farklı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olgulara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uyarlar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,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F35D57" w:rsidRDefault="00F35D57">
            <w:proofErr w:type="gramStart"/>
            <w:r w:rsidRPr="00165E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</w:tcPr>
          <w:p w:rsidR="00F35D57" w:rsidRDefault="00F35D57">
            <w:proofErr w:type="gramStart"/>
            <w:r w:rsidRPr="00BC61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F35D57" w:rsidRDefault="00F35D57">
            <w:r w:rsidRPr="00B8538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  <w:tr w:rsidR="00F35D57" w:rsidRPr="008621BC" w:rsidTr="00105C84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822C85" w:rsidRDefault="00F35D57" w:rsidP="00F35D57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Güncel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sorunları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analitik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bir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bakış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açısıyla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çözümler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F35D57" w:rsidRDefault="00F35D57">
            <w:proofErr w:type="gramStart"/>
            <w:r w:rsidRPr="00165E0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</w:tcPr>
          <w:p w:rsidR="00F35D57" w:rsidRDefault="00F35D57">
            <w:proofErr w:type="gramStart"/>
            <w:r w:rsidRPr="00BC610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F35D57" w:rsidRDefault="00F35D57">
            <w:r w:rsidRPr="00B8538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B,C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6987"/>
      </w:tblGrid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Öğretim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8621BC" w:rsidRPr="00BE3186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A:Sınav, B:Sunum, C: Ödev </w:t>
            </w:r>
          </w:p>
        </w:tc>
      </w:tr>
    </w:tbl>
    <w:p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4697"/>
        <w:gridCol w:w="5234"/>
      </w:tblGrid>
      <w:tr w:rsidR="00660279" w:rsidRPr="008621BC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60279" w:rsidRPr="008621BC" w:rsidTr="00F35D57">
        <w:trPr>
          <w:trHeight w:val="450"/>
          <w:tblCellSpacing w:w="15" w:type="dxa"/>
          <w:jc w:val="center"/>
        </w:trPr>
        <w:tc>
          <w:tcPr>
            <w:tcW w:w="3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4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8621BC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030687" w:rsidRDefault="00F35D57" w:rsidP="000A2BC8">
            <w:pPr>
              <w:ind w:right="-1064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Introduction to the Course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8621BC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030687" w:rsidRDefault="00F35D57" w:rsidP="000A2BC8">
            <w:pPr>
              <w:ind w:right="-1064"/>
              <w:jc w:val="both"/>
              <w:rPr>
                <w:rFonts w:ascii="Arial" w:hAnsi="Arial" w:cs="Arial"/>
              </w:rPr>
            </w:pPr>
            <w:proofErr w:type="spellStart"/>
            <w:r w:rsidRPr="007F7637">
              <w:rPr>
                <w:rFonts w:ascii="Arial" w:hAnsi="Arial" w:cs="Arial"/>
              </w:rPr>
              <w:t>Foundations</w:t>
            </w:r>
            <w:proofErr w:type="spellEnd"/>
            <w:r w:rsidRPr="007F7637">
              <w:rPr>
                <w:rFonts w:ascii="Arial" w:hAnsi="Arial" w:cs="Arial"/>
              </w:rPr>
              <w:t xml:space="preserve"> of </w:t>
            </w:r>
            <w:proofErr w:type="spellStart"/>
            <w:r w:rsidRPr="007F7637">
              <w:rPr>
                <w:rFonts w:ascii="Arial" w:hAnsi="Arial" w:cs="Arial"/>
              </w:rPr>
              <w:t>Social</w:t>
            </w:r>
            <w:proofErr w:type="spellEnd"/>
            <w:r w:rsidRPr="007F7637">
              <w:rPr>
                <w:rFonts w:ascii="Arial" w:hAnsi="Arial" w:cs="Arial"/>
              </w:rPr>
              <w:t xml:space="preserve"> </w:t>
            </w:r>
            <w:proofErr w:type="spellStart"/>
            <w:r w:rsidRPr="007F7637">
              <w:rPr>
                <w:rFonts w:ascii="Arial" w:hAnsi="Arial" w:cs="Arial"/>
              </w:rPr>
              <w:t>Sciences</w:t>
            </w:r>
            <w:proofErr w:type="spellEnd"/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Reading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List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030687" w:rsidRDefault="00F35D57" w:rsidP="000A2BC8">
            <w:pPr>
              <w:ind w:right="-10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 Survey of Communication Theories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Reading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List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030687" w:rsidRDefault="00F35D57" w:rsidP="000A2BC8">
            <w:pPr>
              <w:ind w:right="-1064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F7637">
              <w:rPr>
                <w:rFonts w:ascii="Arial" w:hAnsi="Arial" w:cs="Arial"/>
                <w:color w:val="000000"/>
                <w:lang w:val="en-US"/>
              </w:rPr>
              <w:t>Critics of Cultural Theory</w:t>
            </w:r>
            <w:r w:rsidRPr="007F76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Reading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List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030687" w:rsidRDefault="00F35D57" w:rsidP="000A2BC8">
            <w:pPr>
              <w:ind w:right="-10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Frankfurt School I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Reading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List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7F7637" w:rsidRDefault="00F35D57" w:rsidP="000A2BC8">
            <w:pPr>
              <w:ind w:right="-1064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:rsidR="00F35D57" w:rsidRPr="00030687" w:rsidRDefault="00F35D57" w:rsidP="000A2BC8">
            <w:pPr>
              <w:ind w:right="-1064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Frankfurt School II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Reading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List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030687" w:rsidRDefault="00F35D57" w:rsidP="000A2BC8">
            <w:pPr>
              <w:ind w:right="-1064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Sight and Spectacle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Reading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List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0A2BC8">
            <w:pPr>
              <w:ind w:right="-1064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F7637">
              <w:rPr>
                <w:rFonts w:ascii="Arial" w:hAnsi="Arial" w:cs="Arial"/>
                <w:color w:val="000000"/>
                <w:lang w:val="en-US"/>
              </w:rPr>
              <w:t>Digioptimism</w:t>
            </w:r>
            <w:proofErr w:type="spellEnd"/>
            <w:r w:rsidRPr="007F7637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  <w:lang w:val="en-US"/>
              </w:rPr>
              <w:t>“</w:t>
            </w:r>
            <w:r w:rsidRPr="007F7637">
              <w:rPr>
                <w:rFonts w:ascii="Arial" w:hAnsi="Arial" w:cs="Arial"/>
                <w:color w:val="000000"/>
                <w:lang w:val="en-US"/>
              </w:rPr>
              <w:t xml:space="preserve">New Communication </w:t>
            </w:r>
          </w:p>
          <w:p w:rsidR="00F35D57" w:rsidRPr="00030687" w:rsidRDefault="00F35D57" w:rsidP="000A2BC8">
            <w:pPr>
              <w:ind w:right="-1064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F7637">
              <w:rPr>
                <w:rFonts w:ascii="Arial" w:hAnsi="Arial" w:cs="Arial"/>
                <w:color w:val="000000"/>
                <w:lang w:val="en-US"/>
              </w:rPr>
              <w:t>Technologies</w:t>
            </w:r>
            <w:r>
              <w:rPr>
                <w:rFonts w:ascii="Arial" w:hAnsi="Arial" w:cs="Arial"/>
                <w:color w:val="000000"/>
                <w:lang w:val="en-US"/>
              </w:rPr>
              <w:t>”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Reading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List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030687" w:rsidRDefault="00F35D57" w:rsidP="000A2BC8">
            <w:pPr>
              <w:tabs>
                <w:tab w:val="left" w:pos="709"/>
              </w:tabs>
              <w:ind w:right="-10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“</w:t>
            </w:r>
            <w:proofErr w:type="spellStart"/>
            <w:r>
              <w:rPr>
                <w:rFonts w:ascii="Arial" w:hAnsi="Arial" w:cs="Arial"/>
                <w:color w:val="000000"/>
              </w:rPr>
              <w:t>Social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Web” </w:t>
            </w:r>
            <w:proofErr w:type="spellStart"/>
            <w:r>
              <w:rPr>
                <w:rFonts w:ascii="Arial" w:hAnsi="Arial" w:cs="Arial"/>
                <w:color w:val="00000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Digital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Labor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Reading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List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8</w:t>
            </w: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030687" w:rsidRDefault="00F35D57" w:rsidP="000A2BC8">
            <w:pPr>
              <w:ind w:right="-1064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Globalization, Media and Culture I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030687" w:rsidRDefault="00F35D57" w:rsidP="000A2BC8">
            <w:pPr>
              <w:ind w:right="-1064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Globalization, Media and Culture II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030687" w:rsidRDefault="00F35D57" w:rsidP="000A2BC8">
            <w:pPr>
              <w:ind w:right="-1064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The McDonaldization of Society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Political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Economy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of Media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ind w:right="-1064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F7637">
              <w:rPr>
                <w:rFonts w:ascii="Arial" w:hAnsi="Arial" w:cs="Arial"/>
                <w:color w:val="000000"/>
                <w:lang w:val="en-US"/>
              </w:rPr>
              <w:t>Class Presentations</w:t>
            </w:r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18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F35D57" w:rsidRDefault="00F35D57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proofErr w:type="spellEnd"/>
            <w:proofErr w:type="gramEnd"/>
          </w:p>
        </w:tc>
        <w:tc>
          <w:tcPr>
            <w:tcW w:w="240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BE3186" w:rsidRDefault="00F35D57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35D57" w:rsidRPr="008621BC" w:rsidTr="00F35D57">
        <w:trPr>
          <w:trHeight w:val="391"/>
          <w:tblCellSpacing w:w="15" w:type="dxa"/>
          <w:jc w:val="center"/>
        </w:trPr>
        <w:tc>
          <w:tcPr>
            <w:tcW w:w="3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Default="00F35D5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F35D57" w:rsidRDefault="00F35D57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24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BE3186" w:rsidRDefault="00F35D57" w:rsidP="0026514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9"/>
        <w:gridCol w:w="6992"/>
      </w:tblGrid>
      <w:tr w:rsidR="00660279" w:rsidRPr="008621BC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8621BC" w:rsidTr="008621BC">
        <w:trPr>
          <w:trHeight w:val="37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03530B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621BC" w:rsidTr="008621BC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F35D57" w:rsidRDefault="00F35D57" w:rsidP="00F35D5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Gulbankian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Komisyonu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 (1996). </w:t>
            </w:r>
            <w:proofErr w:type="spellStart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>Sosyal</w:t>
            </w:r>
            <w:proofErr w:type="spellEnd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>Bilimleri</w:t>
            </w:r>
            <w:proofErr w:type="spellEnd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>Açın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Çev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Şirin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Tekeli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>, Metis Yay: İstanbul</w:t>
            </w:r>
          </w:p>
          <w:p w:rsidR="00F35D57" w:rsidRPr="00F35D57" w:rsidRDefault="00F35D57" w:rsidP="00F35D5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Erdoğan, İrfan (2014). </w:t>
            </w:r>
            <w:proofErr w:type="spellStart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>Medya</w:t>
            </w:r>
            <w:proofErr w:type="spellEnd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>Teori</w:t>
            </w:r>
            <w:proofErr w:type="spellEnd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>ve</w:t>
            </w:r>
            <w:proofErr w:type="spellEnd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>Araştırmaları</w:t>
            </w:r>
            <w:proofErr w:type="spellEnd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 xml:space="preserve">, </w:t>
            </w: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Erk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 Yay: Ankara</w:t>
            </w:r>
          </w:p>
          <w:p w:rsidR="00F35D57" w:rsidRPr="00F35D57" w:rsidRDefault="00F35D57" w:rsidP="00F35D5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Eagletone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, Terry (2004). </w:t>
            </w:r>
            <w:proofErr w:type="spellStart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>Kuramdan</w:t>
            </w:r>
            <w:proofErr w:type="spellEnd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>Sonra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Çev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Uygar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 Abacı, </w:t>
            </w: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Literatür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 Yay: İstanbul</w:t>
            </w:r>
          </w:p>
          <w:p w:rsidR="00F35D57" w:rsidRPr="00F35D57" w:rsidRDefault="00F35D57" w:rsidP="00F35D5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Adorno, Theodor, </w:t>
            </w: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Horkheimer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 Max (1995). </w:t>
            </w:r>
            <w:proofErr w:type="spellStart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>Aydınlanmanın</w:t>
            </w:r>
            <w:proofErr w:type="spellEnd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F35D57">
              <w:rPr>
                <w:rFonts w:ascii="Arial" w:hAnsi="Arial" w:cs="Arial"/>
                <w:b/>
                <w:color w:val="000000"/>
                <w:lang w:val="en-US"/>
              </w:rPr>
              <w:t>Diyalektiği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Çev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Oğuz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Özügül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F35D57">
              <w:rPr>
                <w:rFonts w:ascii="Arial" w:hAnsi="Arial" w:cs="Arial"/>
                <w:color w:val="000000"/>
                <w:lang w:val="en-US"/>
              </w:rPr>
              <w:t>Kabalcı</w:t>
            </w:r>
            <w:proofErr w:type="spellEnd"/>
            <w:r w:rsidRPr="00F35D57">
              <w:rPr>
                <w:rFonts w:ascii="Arial" w:hAnsi="Arial" w:cs="Arial"/>
                <w:color w:val="000000"/>
                <w:lang w:val="en-US"/>
              </w:rPr>
              <w:t xml:space="preserve"> Yay: İstanbul.</w:t>
            </w:r>
          </w:p>
          <w:p w:rsidR="00F35D57" w:rsidRPr="0082323D" w:rsidRDefault="00F35D57" w:rsidP="00F35D5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Benjamin, Walter (2000). </w:t>
            </w:r>
            <w:proofErr w:type="spellStart"/>
            <w:r w:rsidRPr="00832EF0">
              <w:rPr>
                <w:rFonts w:ascii="Arial" w:hAnsi="Arial" w:cs="Arial"/>
                <w:b/>
                <w:color w:val="000000"/>
                <w:lang w:val="en-US"/>
              </w:rPr>
              <w:t>Pasajlar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Çev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. Ahmet Cemal.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Yapı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Kredi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Yay: İstanbul</w:t>
            </w:r>
          </w:p>
          <w:p w:rsidR="00F35D57" w:rsidRDefault="00F35D57" w:rsidP="00F35D5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Berger, John (1993). </w:t>
            </w:r>
            <w:proofErr w:type="spellStart"/>
            <w:r w:rsidRPr="00832EF0">
              <w:rPr>
                <w:rFonts w:ascii="Arial" w:hAnsi="Arial" w:cs="Arial"/>
                <w:b/>
                <w:color w:val="000000"/>
                <w:lang w:val="en-US"/>
              </w:rPr>
              <w:t>Görme</w:t>
            </w:r>
            <w:proofErr w:type="spellEnd"/>
            <w:r w:rsidRPr="00832EF0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832EF0">
              <w:rPr>
                <w:rFonts w:ascii="Arial" w:hAnsi="Arial" w:cs="Arial"/>
                <w:b/>
                <w:color w:val="000000"/>
                <w:lang w:val="en-US"/>
              </w:rPr>
              <w:t>Biçimleri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Çev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Yurdanur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Salman, Metis Yay: İstanbul</w:t>
            </w:r>
          </w:p>
          <w:p w:rsidR="00F35D57" w:rsidRDefault="00F35D57" w:rsidP="00F35D5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Fuchs, Christian (2016). </w:t>
            </w:r>
            <w:proofErr w:type="spellStart"/>
            <w:r w:rsidRPr="00423B0F">
              <w:rPr>
                <w:rFonts w:ascii="Arial" w:hAnsi="Arial" w:cs="Arial"/>
                <w:b/>
                <w:color w:val="000000"/>
                <w:lang w:val="en-US"/>
              </w:rPr>
              <w:t>Sosyal</w:t>
            </w:r>
            <w:proofErr w:type="spellEnd"/>
            <w:r w:rsidRPr="00423B0F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423B0F">
              <w:rPr>
                <w:rFonts w:ascii="Arial" w:hAnsi="Arial" w:cs="Arial"/>
                <w:b/>
                <w:color w:val="000000"/>
                <w:lang w:val="en-US"/>
              </w:rPr>
              <w:t>Medya</w:t>
            </w:r>
            <w:proofErr w:type="spellEnd"/>
            <w:r w:rsidRPr="00423B0F">
              <w:rPr>
                <w:rFonts w:ascii="Arial" w:hAnsi="Arial" w:cs="Arial"/>
                <w:b/>
                <w:color w:val="000000"/>
                <w:lang w:val="en-US"/>
              </w:rPr>
              <w:t xml:space="preserve">: </w:t>
            </w:r>
            <w:proofErr w:type="spellStart"/>
            <w:r w:rsidRPr="00423B0F">
              <w:rPr>
                <w:rFonts w:ascii="Arial" w:hAnsi="Arial" w:cs="Arial"/>
                <w:b/>
                <w:color w:val="000000"/>
                <w:lang w:val="en-US"/>
              </w:rPr>
              <w:t>Eleştirel</w:t>
            </w:r>
            <w:proofErr w:type="spellEnd"/>
            <w:r w:rsidRPr="00423B0F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423B0F">
              <w:rPr>
                <w:rFonts w:ascii="Arial" w:hAnsi="Arial" w:cs="Arial"/>
                <w:b/>
                <w:color w:val="000000"/>
                <w:lang w:val="en-US"/>
              </w:rPr>
              <w:t>Bir</w:t>
            </w:r>
            <w:proofErr w:type="spellEnd"/>
            <w:r w:rsidRPr="00423B0F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423B0F">
              <w:rPr>
                <w:rFonts w:ascii="Arial" w:hAnsi="Arial" w:cs="Arial"/>
                <w:b/>
                <w:color w:val="000000"/>
                <w:lang w:val="en-US"/>
              </w:rPr>
              <w:t>Giriş</w:t>
            </w:r>
            <w:proofErr w:type="spellEnd"/>
            <w:r>
              <w:rPr>
                <w:rFonts w:ascii="Arial" w:hAnsi="Arial" w:cs="Arial"/>
                <w:b/>
                <w:color w:val="000000"/>
                <w:lang w:val="en-US"/>
              </w:rPr>
              <w:t>,</w:t>
            </w:r>
            <w:r w:rsidRPr="00423B0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23B0F">
              <w:rPr>
                <w:rFonts w:ascii="Arial" w:hAnsi="Arial" w:cs="Arial"/>
                <w:color w:val="000000"/>
                <w:lang w:val="en-US"/>
              </w:rPr>
              <w:t>Çev</w:t>
            </w:r>
            <w:proofErr w:type="spellEnd"/>
            <w:r w:rsidRPr="00423B0F"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Diyar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Saraçoğlu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İlker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Kalaycı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Notabene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Yay: İstanbul </w:t>
            </w:r>
          </w:p>
          <w:p w:rsidR="00F35D57" w:rsidRDefault="00F35D57" w:rsidP="00F35D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Fuchs, Christian; Mosco, Vincent (2014). </w:t>
            </w:r>
            <w:r w:rsidRPr="009F44FB">
              <w:rPr>
                <w:rFonts w:ascii="Arial" w:hAnsi="Arial" w:cs="Arial"/>
                <w:b/>
                <w:lang w:val="en-US"/>
              </w:rPr>
              <w:t xml:space="preserve">Marx Geri </w:t>
            </w:r>
            <w:proofErr w:type="spellStart"/>
            <w:r w:rsidRPr="009F44FB">
              <w:rPr>
                <w:rFonts w:ascii="Arial" w:hAnsi="Arial" w:cs="Arial"/>
                <w:b/>
                <w:lang w:val="en-US"/>
              </w:rPr>
              <w:t>Döndü</w:t>
            </w:r>
            <w:proofErr w:type="spellEnd"/>
            <w:r w:rsidRPr="009F44FB">
              <w:rPr>
                <w:rFonts w:ascii="Arial" w:hAnsi="Arial" w:cs="Arial"/>
                <w:b/>
                <w:lang w:val="en-US"/>
              </w:rPr>
              <w:t xml:space="preserve">: </w:t>
            </w:r>
            <w:proofErr w:type="spellStart"/>
            <w:r w:rsidRPr="009F44FB">
              <w:rPr>
                <w:rFonts w:ascii="Arial" w:hAnsi="Arial" w:cs="Arial"/>
                <w:b/>
                <w:lang w:val="en-US"/>
              </w:rPr>
              <w:t>Medya</w:t>
            </w:r>
            <w:proofErr w:type="spellEnd"/>
            <w:r w:rsidRPr="009F44FB">
              <w:rPr>
                <w:rFonts w:ascii="Arial" w:hAnsi="Arial" w:cs="Arial"/>
                <w:b/>
                <w:lang w:val="en-US"/>
              </w:rPr>
              <w:t xml:space="preserve">, Meta, </w:t>
            </w:r>
            <w:proofErr w:type="spellStart"/>
            <w:r w:rsidRPr="009F44FB">
              <w:rPr>
                <w:rFonts w:ascii="Arial" w:hAnsi="Arial" w:cs="Arial"/>
                <w:b/>
                <w:lang w:val="en-US"/>
              </w:rPr>
              <w:t>Sermaye</w:t>
            </w:r>
            <w:proofErr w:type="spellEnd"/>
            <w:r w:rsidRPr="009F44FB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9F44FB">
              <w:rPr>
                <w:rFonts w:ascii="Arial" w:hAnsi="Arial" w:cs="Arial"/>
                <w:b/>
                <w:lang w:val="en-US"/>
              </w:rPr>
              <w:t>Birikimi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der. </w:t>
            </w:r>
            <w:proofErr w:type="spellStart"/>
            <w:r>
              <w:rPr>
                <w:rFonts w:ascii="Arial" w:hAnsi="Arial" w:cs="Arial"/>
                <w:lang w:val="en-US"/>
              </w:rPr>
              <w:t>Funda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Başaran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Notabene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Yay: İstanbul.</w:t>
            </w:r>
          </w:p>
          <w:p w:rsidR="00F35D57" w:rsidRDefault="00F35D57" w:rsidP="00F35D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Bauman, </w:t>
            </w:r>
            <w:proofErr w:type="spellStart"/>
            <w:r>
              <w:rPr>
                <w:rFonts w:ascii="Arial" w:hAnsi="Arial" w:cs="Arial"/>
                <w:lang w:val="en-US"/>
              </w:rPr>
              <w:t>Zymunt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(2007). </w:t>
            </w:r>
            <w:proofErr w:type="spellStart"/>
            <w:r w:rsidRPr="00832EF0">
              <w:rPr>
                <w:rFonts w:ascii="Arial" w:hAnsi="Arial" w:cs="Arial"/>
                <w:b/>
                <w:lang w:val="en-US"/>
              </w:rPr>
              <w:t>Küreselleşme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Çev</w:t>
            </w:r>
            <w:proofErr w:type="spellEnd"/>
            <w:r>
              <w:rPr>
                <w:rFonts w:ascii="Arial" w:hAnsi="Arial" w:cs="Arial"/>
                <w:lang w:val="en-US"/>
              </w:rPr>
              <w:t>. Abdullah Yılmaz. Metis Yay: İstanbul.</w:t>
            </w:r>
          </w:p>
          <w:p w:rsidR="00F35D57" w:rsidRDefault="00F35D57" w:rsidP="00F35D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Urry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John (1998). </w:t>
            </w:r>
            <w:proofErr w:type="spellStart"/>
            <w:r w:rsidRPr="00832EF0">
              <w:rPr>
                <w:rFonts w:ascii="Arial" w:hAnsi="Arial" w:cs="Arial"/>
                <w:b/>
                <w:lang w:val="en-US"/>
              </w:rPr>
              <w:t>Mekânları</w:t>
            </w:r>
            <w:proofErr w:type="spellEnd"/>
            <w:r w:rsidRPr="00832EF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32EF0">
              <w:rPr>
                <w:rFonts w:ascii="Arial" w:hAnsi="Arial" w:cs="Arial"/>
                <w:b/>
                <w:lang w:val="en-US"/>
              </w:rPr>
              <w:t>Tüketmek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Çev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Rahmi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Öğdül</w:t>
            </w:r>
            <w:proofErr w:type="spellEnd"/>
            <w:r>
              <w:rPr>
                <w:rFonts w:ascii="Arial" w:hAnsi="Arial" w:cs="Arial"/>
                <w:lang w:val="en-US"/>
              </w:rPr>
              <w:t>. Metis Yay: İstanbul.</w:t>
            </w:r>
          </w:p>
          <w:p w:rsidR="00F35D57" w:rsidRDefault="00F35D57" w:rsidP="00F35D5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Ritzer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, George (1998). </w:t>
            </w:r>
            <w:proofErr w:type="spellStart"/>
            <w:r w:rsidRPr="00423B0F">
              <w:rPr>
                <w:rFonts w:ascii="Arial" w:hAnsi="Arial" w:cs="Arial"/>
                <w:b/>
                <w:color w:val="000000"/>
                <w:lang w:val="en-US"/>
              </w:rPr>
              <w:t>Toplumun</w:t>
            </w:r>
            <w:proofErr w:type="spellEnd"/>
            <w:r w:rsidRPr="00423B0F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423B0F">
              <w:rPr>
                <w:rFonts w:ascii="Arial" w:hAnsi="Arial" w:cs="Arial"/>
                <w:b/>
                <w:color w:val="000000"/>
                <w:lang w:val="en-US"/>
              </w:rPr>
              <w:t>McDonaldlaştırılması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Çev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Şen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Süer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Kaya.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Ayrıntı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Yay: İstanbul</w:t>
            </w:r>
          </w:p>
          <w:p w:rsidR="00F35D57" w:rsidRDefault="00F35D57" w:rsidP="00F35D5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Schiller, Herbert (2005). </w:t>
            </w:r>
            <w:proofErr w:type="spellStart"/>
            <w:r w:rsidRPr="000B3CC3">
              <w:rPr>
                <w:rFonts w:ascii="Arial" w:hAnsi="Arial" w:cs="Arial"/>
                <w:b/>
                <w:lang w:val="en-US"/>
              </w:rPr>
              <w:t>Zihin</w:t>
            </w:r>
            <w:proofErr w:type="spellEnd"/>
            <w:r w:rsidRPr="000B3CC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B3CC3">
              <w:rPr>
                <w:rFonts w:ascii="Arial" w:hAnsi="Arial" w:cs="Arial"/>
                <w:b/>
                <w:lang w:val="en-US"/>
              </w:rPr>
              <w:t>Yönlendirenler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çev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Cevdet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Cerit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Pınan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Yay: İstanbul</w:t>
            </w:r>
          </w:p>
          <w:p w:rsidR="00704BDA" w:rsidRPr="008621BC" w:rsidRDefault="00704BDA" w:rsidP="008621B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8621BC" w:rsidRP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7088"/>
      </w:tblGrid>
      <w:tr w:rsidR="00660279" w:rsidRPr="008621BC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8"/>
        <w:gridCol w:w="705"/>
        <w:gridCol w:w="2208"/>
      </w:tblGrid>
      <w:tr w:rsidR="00660279" w:rsidRPr="008621BC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621BC" w:rsidTr="00F35D57">
        <w:trPr>
          <w:trHeight w:val="450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Okuma, tartışma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Sunum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lastRenderedPageBreak/>
              <w:t>Ödev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FİNALİN BAŞARIYA ORANI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6</w:t>
            </w: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YIL İÇİNİN BAŞARIYA ORANI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4</w:t>
            </w: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6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823"/>
      </w:tblGrid>
      <w:tr w:rsidR="00660279" w:rsidRPr="008621BC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6875"/>
        <w:gridCol w:w="427"/>
        <w:gridCol w:w="531"/>
        <w:gridCol w:w="512"/>
        <w:gridCol w:w="529"/>
        <w:gridCol w:w="1410"/>
      </w:tblGrid>
      <w:tr w:rsidR="008621BC" w:rsidRPr="00BE3186" w:rsidTr="002F4ABE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621BC" w:rsidRPr="00BE3186" w:rsidTr="002F4ABE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621BC" w:rsidRPr="00BE3186" w:rsidTr="002F4ABE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BE3186" w:rsidRDefault="008621BC" w:rsidP="002F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621BC" w:rsidRPr="00BE3186" w:rsidTr="002F4ABE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  <w:tr w:rsidR="008621BC" w:rsidRPr="00BE3186" w:rsidTr="002F4ABE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 çalışmalarıyla </w:t>
            </w:r>
            <w:r w:rsidR="008621BC"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ilgili veri toplama, </w:t>
            </w:r>
            <w:proofErr w:type="gramStart"/>
            <w:r w:rsidR="008621BC"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="008621BC"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704BDA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X</w:t>
            </w: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BDA">
              <w:rPr>
                <w:rFonts w:ascii="Times New Roman" w:hAnsi="Times New Roman" w:cs="Times New Roman"/>
                <w:sz w:val="24"/>
                <w:szCs w:val="24"/>
              </w:rPr>
              <w:t>Makale ve tez yazmak için gerekli olan bilgisayar kullanma becerisine sahip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B966B5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  <w:tr w:rsidR="008621BC" w:rsidRPr="00BE3186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E0676F" w:rsidRDefault="00704BDA" w:rsidP="00EC018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Medya ve iletişimin teorik ve pratik açıdan anlam ve öneminin </w:t>
            </w:r>
            <w:r w:rsidR="00E25CA1">
              <w:rPr>
                <w:rFonts w:ascii="Times New Roman" w:hAnsi="Times New Roman" w:cs="Times New Roman"/>
                <w:sz w:val="24"/>
                <w:szCs w:val="24"/>
              </w:rPr>
              <w:t>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704BDA" w:rsidRDefault="00704BDA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704B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  <w:proofErr w:type="gramEnd"/>
          </w:p>
        </w:tc>
      </w:tr>
    </w:tbl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977"/>
        <w:gridCol w:w="785"/>
        <w:gridCol w:w="1259"/>
      </w:tblGrid>
      <w:tr w:rsidR="00660279" w:rsidRPr="008621BC" w:rsidTr="00F35D57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AKTS / İŞ YÜKÜ TABLOSU</w:t>
            </w:r>
          </w:p>
        </w:tc>
      </w:tr>
      <w:tr w:rsidR="00660279" w:rsidRPr="008621BC" w:rsidTr="00F35D57">
        <w:trPr>
          <w:trHeight w:val="450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Ders Süresi (Sınav haftası </w:t>
            </w:r>
            <w:proofErr w:type="gramStart"/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dahildir</w:t>
            </w:r>
            <w:proofErr w:type="gramEnd"/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: 16x toplam ders saati)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Sınıf Dışı Ders Çalışma Süresi(Ön çalışma, pekiştirme)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Ara Sınav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Kısa Sınav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Toplam İş Yükü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199</w:t>
            </w:r>
          </w:p>
        </w:tc>
      </w:tr>
      <w:tr w:rsidR="00F35D57" w:rsidRPr="008621BC" w:rsidTr="00F35D57">
        <w:trPr>
          <w:trHeight w:val="375"/>
          <w:tblCellSpacing w:w="15" w:type="dxa"/>
          <w:jc w:val="center"/>
        </w:trPr>
        <w:tc>
          <w:tcPr>
            <w:tcW w:w="35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Toplam İş Yükü / 25 (s)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44041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F35D57" w:rsidRPr="00440415" w:rsidRDefault="00F35D57" w:rsidP="000A2BC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7,96</w:t>
            </w:r>
          </w:p>
        </w:tc>
      </w:tr>
    </w:tbl>
    <w:p w:rsidR="00814D5D" w:rsidRPr="008621BC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8621BC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76BA"/>
    <w:multiLevelType w:val="hybridMultilevel"/>
    <w:tmpl w:val="9FB45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075A4"/>
    <w:multiLevelType w:val="hybridMultilevel"/>
    <w:tmpl w:val="B3740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3530B"/>
    <w:rsid w:val="000D3B39"/>
    <w:rsid w:val="002A6FB7"/>
    <w:rsid w:val="002D3FD3"/>
    <w:rsid w:val="00307B9D"/>
    <w:rsid w:val="00376ED8"/>
    <w:rsid w:val="00490150"/>
    <w:rsid w:val="00507889"/>
    <w:rsid w:val="00541B81"/>
    <w:rsid w:val="0059565F"/>
    <w:rsid w:val="005B5D82"/>
    <w:rsid w:val="00660279"/>
    <w:rsid w:val="006B463C"/>
    <w:rsid w:val="00703F9A"/>
    <w:rsid w:val="00704BDA"/>
    <w:rsid w:val="00706453"/>
    <w:rsid w:val="00814D5D"/>
    <w:rsid w:val="008305B2"/>
    <w:rsid w:val="00860573"/>
    <w:rsid w:val="008621BC"/>
    <w:rsid w:val="008761B3"/>
    <w:rsid w:val="008F7514"/>
    <w:rsid w:val="00A46DEC"/>
    <w:rsid w:val="00A61A3A"/>
    <w:rsid w:val="00B51DED"/>
    <w:rsid w:val="00B937F7"/>
    <w:rsid w:val="00B966B5"/>
    <w:rsid w:val="00CC1930"/>
    <w:rsid w:val="00DF0C63"/>
    <w:rsid w:val="00E25CA1"/>
    <w:rsid w:val="00EC018F"/>
    <w:rsid w:val="00F3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72894-3E30-452B-B94F-2D779F58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F35D57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F35D57"/>
    <w:rPr>
      <w:rFonts w:ascii="Arial" w:eastAsia="Times New Roman" w:hAnsi="Arial" w:cs="Arial"/>
      <w:b/>
      <w:bCs/>
      <w:i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F3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Burcu Capraz</cp:lastModifiedBy>
  <cp:revision>2</cp:revision>
  <cp:lastPrinted>2017-01-26T06:47:00Z</cp:lastPrinted>
  <dcterms:created xsi:type="dcterms:W3CDTF">2017-11-24T07:21:00Z</dcterms:created>
  <dcterms:modified xsi:type="dcterms:W3CDTF">2017-11-24T07:21:00Z</dcterms:modified>
</cp:coreProperties>
</file>