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1886"/>
        <w:gridCol w:w="1148"/>
        <w:gridCol w:w="1692"/>
        <w:gridCol w:w="1009"/>
        <w:gridCol w:w="1051"/>
      </w:tblGrid>
      <w:tr w:rsidR="00660279" w:rsidRPr="00D661B4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D661B4" w:rsidRDefault="00660279" w:rsidP="00660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  <w:t>DERS BİLGİLERİ</w:t>
            </w:r>
          </w:p>
        </w:tc>
      </w:tr>
      <w:tr w:rsidR="00B966B5" w:rsidRPr="00D661B4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</w:rPr>
              <w:t>AKTS</w:t>
            </w:r>
          </w:p>
        </w:tc>
      </w:tr>
      <w:tr w:rsidR="00B966B5" w:rsidRPr="00D661B4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104C4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İletişim Araştırmaları ve Bilimsel Etik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104C4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COMM 560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B966B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B966B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B966B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B966B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8</w:t>
            </w:r>
          </w:p>
        </w:tc>
      </w:tr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-</w:t>
            </w:r>
          </w:p>
        </w:tc>
      </w:tr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bookmarkStart w:id="0" w:name="_GoBack" w:colFirst="2" w:colLast="2"/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86057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t xml:space="preserve">İngilizce </w:t>
            </w: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2A6FB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Yüksek </w:t>
            </w:r>
            <w:r w:rsidR="00660279"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Lisans</w:t>
            </w: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A61A3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Zorunlu</w:t>
            </w: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86057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104C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5859E3" w:rsidP="00BF6AC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Bu dersin amacı iletişimde ku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>llanılan araştırma yöntemi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ve tekniklerini anlatmak </w:t>
            </w:r>
            <w:r w:rsidR="00D661B4" w:rsidRPr="00D661B4">
              <w:rPr>
                <w:rFonts w:ascii="Verdana" w:eastAsia="Times New Roman" w:hAnsi="Verdana" w:cs="Times New Roman"/>
                <w:sz w:val="18"/>
                <w:szCs w:val="18"/>
              </w:rPr>
              <w:t>ve bunların</w:t>
            </w:r>
            <w:r w:rsidR="00BF6AC5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>sah</w:t>
            </w:r>
            <w:r w:rsidR="00BF6AC5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a içinde nasıl </w:t>
            </w:r>
            <w:r w:rsidR="0053099E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kullanıldığını 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>göstermek</w:t>
            </w:r>
            <w:r w:rsidR="0053099E" w:rsidRPr="00D661B4">
              <w:rPr>
                <w:rFonts w:ascii="Verdana" w:eastAsia="Times New Roman" w:hAnsi="Verdana" w:cs="Times New Roman"/>
                <w:sz w:val="18"/>
                <w:szCs w:val="18"/>
              </w:rPr>
              <w:t>tir. İletişim araştırma tekniklerinin sahada nasıl uygulanacağı ve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saha sonrası</w:t>
            </w:r>
            <w:r w:rsidR="0053099E" w:rsidRPr="00D661B4">
              <w:rPr>
                <w:rFonts w:ascii="Verdana" w:eastAsia="Times New Roman" w:hAnsi="Verdana" w:cs="Times New Roman"/>
                <w:sz w:val="18"/>
                <w:szCs w:val="18"/>
              </w:rPr>
              <w:t>nda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D661B4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edinilen </w:t>
            </w:r>
            <w:proofErr w:type="gramStart"/>
            <w:r w:rsidR="00D661B4" w:rsidRPr="00D661B4">
              <w:rPr>
                <w:rFonts w:ascii="Verdana" w:eastAsia="Times New Roman" w:hAnsi="Verdana" w:cs="Times New Roman"/>
                <w:sz w:val="18"/>
                <w:szCs w:val="18"/>
              </w:rPr>
              <w:t>bilgilerin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>nasıl</w:t>
            </w:r>
            <w:proofErr w:type="gramEnd"/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analiz edileceğ</w:t>
            </w:r>
            <w:r w:rsidR="00CA7DEE" w:rsidRPr="00D661B4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="0053099E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ve yorumlanacağı açıklanmaktadır</w:t>
            </w:r>
            <w:r w:rsidR="00215474" w:rsidRPr="00D661B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215474" w:rsidP="00BF6AC5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Bu ders</w:t>
            </w:r>
            <w:r w:rsidR="00BF6AC5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te temel iletişim araştırma yöntemleri kullanılmaktadır. Nitel ve nicel araştırma metotları, bu iki </w:t>
            </w:r>
            <w:proofErr w:type="gramStart"/>
            <w:r w:rsidR="00BF6AC5" w:rsidRPr="00D661B4">
              <w:rPr>
                <w:rFonts w:ascii="Verdana" w:eastAsia="Times New Roman" w:hAnsi="Verdana" w:cs="Times New Roman"/>
                <w:sz w:val="18"/>
                <w:szCs w:val="18"/>
              </w:rPr>
              <w:t>metodoloji</w:t>
            </w:r>
            <w:proofErr w:type="gramEnd"/>
            <w:r w:rsidR="00BF6AC5"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arasındaki farklar ve kullanım alanları betimlendikten sonra nitel yöntemler derinlemesine irdelenmektedir. 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0"/>
        <w:gridCol w:w="1986"/>
        <w:gridCol w:w="1219"/>
        <w:gridCol w:w="1305"/>
      </w:tblGrid>
      <w:tr w:rsidR="00CC1930" w:rsidRPr="00D661B4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D661B4" w:rsidRDefault="00CC193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D661B4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D661B4" w:rsidRDefault="00CC1930" w:rsidP="00E26F0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D661B4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Ölçme Yöntemleri</w:t>
            </w:r>
          </w:p>
        </w:tc>
      </w:tr>
      <w:tr w:rsidR="008761B3" w:rsidRPr="00D661B4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D661B4" w:rsidRDefault="005859E3" w:rsidP="00D661B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İ</w:t>
            </w:r>
            <w:r w:rsidR="001E1BDB" w:rsidRPr="00D661B4">
              <w:rPr>
                <w:rFonts w:ascii="Verdana" w:hAnsi="Verdana" w:cs="Times New Roman"/>
                <w:sz w:val="18"/>
                <w:szCs w:val="18"/>
              </w:rPr>
              <w:t>letişim çalışmalarında kullanı</w:t>
            </w:r>
            <w:r w:rsidRPr="00D661B4">
              <w:rPr>
                <w:rFonts w:ascii="Verdana" w:hAnsi="Verdana" w:cs="Times New Roman"/>
                <w:sz w:val="18"/>
                <w:szCs w:val="18"/>
              </w:rPr>
              <w:t>lan araştırma yöntemlerini bilir ve sahada uygular.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D661B4" w:rsidRDefault="00704BD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gramStart"/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D661B4" w:rsidRDefault="00D661B4" w:rsidP="0022441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D661B4" w:rsidRDefault="00D661B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C</w:t>
            </w:r>
          </w:p>
        </w:tc>
      </w:tr>
      <w:tr w:rsidR="00D661B4" w:rsidRPr="00D661B4" w:rsidTr="005E7EF9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661B4" w:rsidRPr="00D661B4" w:rsidRDefault="00D661B4" w:rsidP="00D661B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 xml:space="preserve">Analitik düşünür ve yoğun betimleme yapar. 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61B4" w:rsidRPr="00D661B4" w:rsidRDefault="00D661B4" w:rsidP="00265147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gramStart"/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:rsidR="00D661B4" w:rsidRDefault="00D661B4">
            <w:proofErr w:type="gramStart"/>
            <w:r w:rsidRPr="00B06A3A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61B4" w:rsidRPr="00D661B4" w:rsidRDefault="00D661B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C</w:t>
            </w:r>
          </w:p>
        </w:tc>
      </w:tr>
      <w:tr w:rsidR="00D661B4" w:rsidRPr="00D661B4" w:rsidTr="005E7EF9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661B4" w:rsidRPr="00D661B4" w:rsidRDefault="00D661B4" w:rsidP="00D661B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Saha sonrası edinilen çıktıları analiz eder ve yorumlar.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61B4" w:rsidRPr="00D661B4" w:rsidRDefault="00D661B4" w:rsidP="00265147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gramStart"/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:rsidR="00D661B4" w:rsidRDefault="00D661B4">
            <w:proofErr w:type="gramStart"/>
            <w:r w:rsidRPr="00B06A3A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61B4" w:rsidRPr="00D661B4" w:rsidRDefault="00D661B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C</w:t>
            </w:r>
          </w:p>
        </w:tc>
      </w:tr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6987"/>
      </w:tblGrid>
      <w:tr w:rsidR="008621BC" w:rsidRPr="00D661B4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</w:pPr>
          </w:p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Öğretim Yöntemleri:</w:t>
            </w:r>
          </w:p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1:Anlatım, 2:Soru-Cevap, 3:Tartışma</w:t>
            </w:r>
          </w:p>
        </w:tc>
      </w:tr>
      <w:tr w:rsidR="008621BC" w:rsidRPr="00D661B4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</w:pPr>
          </w:p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Ölçme Yöntemleri:</w:t>
            </w:r>
          </w:p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1E1BDB" w:rsidP="002F4AB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</w:t>
            </w:r>
            <w:r w:rsidR="008621BC"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C: Ödev </w:t>
            </w:r>
          </w:p>
        </w:tc>
      </w:tr>
    </w:tbl>
    <w:p w:rsidR="008621BC" w:rsidRPr="00D661B4" w:rsidRDefault="008621BC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591"/>
        <w:gridCol w:w="5357"/>
      </w:tblGrid>
      <w:tr w:rsidR="00660279" w:rsidRPr="00D661B4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lastRenderedPageBreak/>
              <w:t>DERS AKIŞI</w:t>
            </w:r>
          </w:p>
        </w:tc>
      </w:tr>
      <w:tr w:rsidR="00660279" w:rsidRPr="00D661B4" w:rsidTr="00D661B4">
        <w:trPr>
          <w:trHeight w:val="450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Hafta</w:t>
            </w:r>
          </w:p>
        </w:tc>
        <w:tc>
          <w:tcPr>
            <w:tcW w:w="21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Konular</w:t>
            </w:r>
          </w:p>
        </w:tc>
        <w:tc>
          <w:tcPr>
            <w:tcW w:w="2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Ön Hazırlık</w:t>
            </w:r>
          </w:p>
        </w:tc>
      </w:tr>
      <w:tr w:rsidR="008621BC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D661B4" w:rsidRDefault="006F0F51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İletişim Araştırmalarına Giriş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D661B4" w:rsidP="0003530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2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 xml:space="preserve">Metot, Metodoloji 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3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Nicel Araştırma Yöntemleri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4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Nitel Araştırma Yöntemleri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5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Derinlemesine Görüşme Tekniği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6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Odak Grup Görüşmeleri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7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Katılımlı Gözlem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8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Saha Çalışmaları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9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Söylem Analizi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10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8621BC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İçerik Analizi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11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03530B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Görsel Çözümlemeler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12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03530B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Araştırma Etiği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13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03530B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Araştırma Etiği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B8106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Haftalık okumalar</w:t>
            </w: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B14D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14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D661B4" w:rsidRDefault="00D661B4" w:rsidP="00B14D79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Genel Değerlendirme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Pr="00B81068" w:rsidRDefault="00D661B4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15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6003E8">
              <w:rPr>
                <w:rFonts w:ascii="Verdana" w:hAnsi="Verdana" w:cs="Times New Roman"/>
                <w:sz w:val="18"/>
                <w:szCs w:val="18"/>
              </w:rPr>
              <w:t>Genel Değerlendirme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26514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D661B4" w:rsidRPr="00D661B4" w:rsidTr="00D661B4">
        <w:trPr>
          <w:trHeight w:val="391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16</w:t>
            </w:r>
          </w:p>
        </w:tc>
        <w:tc>
          <w:tcPr>
            <w:tcW w:w="21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661B4" w:rsidRDefault="00D661B4">
            <w:r w:rsidRPr="006003E8">
              <w:rPr>
                <w:rFonts w:ascii="Verdana" w:hAnsi="Verdana" w:cs="Times New Roman"/>
                <w:sz w:val="18"/>
                <w:szCs w:val="18"/>
              </w:rPr>
              <w:t>Genel Değerlendirme</w:t>
            </w:r>
          </w:p>
        </w:tc>
        <w:tc>
          <w:tcPr>
            <w:tcW w:w="2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61B4" w:rsidRPr="00D661B4" w:rsidRDefault="00D661B4" w:rsidP="0026514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992"/>
      </w:tblGrid>
      <w:tr w:rsidR="00660279" w:rsidRPr="00D661B4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KAYNAKLAR</w:t>
            </w:r>
          </w:p>
        </w:tc>
      </w:tr>
      <w:tr w:rsidR="00660279" w:rsidRPr="00D661B4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1BDB" w:rsidRPr="00D661B4" w:rsidRDefault="001E1BDB" w:rsidP="001E1B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Babbie, E. (2004).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The Practice of Social Research 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(10th Edition). U.S.A</w:t>
            </w:r>
            <w:proofErr w:type="gramStart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.:</w:t>
            </w:r>
            <w:proofErr w:type="gramEnd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Thomson Wadsworth.</w:t>
            </w:r>
          </w:p>
          <w:p w:rsidR="001E1BDB" w:rsidRPr="00D661B4" w:rsidRDefault="001E1BDB" w:rsidP="001E1B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E1BDB" w:rsidRPr="00D661B4" w:rsidRDefault="001E1BDB" w:rsidP="001E1BD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Briggs, L.C. (1986).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Learning how to ask. A sociolinguistic appraisal of the role of the interview in social science research. 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U.K</w:t>
            </w:r>
            <w:proofErr w:type="gramStart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.:</w:t>
            </w:r>
            <w:proofErr w:type="gramEnd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Cambridge University Press.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</w:t>
            </w:r>
          </w:p>
          <w:p w:rsidR="001E1BDB" w:rsidRPr="00D661B4" w:rsidRDefault="001E1BDB" w:rsidP="001E1B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E1BDB" w:rsidRPr="00D661B4" w:rsidRDefault="001E1BDB" w:rsidP="001E1B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Bryman, A. (2004).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Social Research Methods (Second Edition). 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Oxford: Oxford University Press.</w:t>
            </w:r>
          </w:p>
          <w:p w:rsidR="00660279" w:rsidRPr="00D661B4" w:rsidRDefault="00660279" w:rsidP="002A6FB7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  <w:p w:rsidR="001E1BDB" w:rsidRPr="00D661B4" w:rsidRDefault="001E1BDB" w:rsidP="001E1B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661B4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Neuman, W.L. (2011). Social Research Methods (Qualitative and Quantitative Approaches) (7th.ed.), Pearson, International Edition (ISBN 978-0-205-78683-1)</w:t>
            </w:r>
          </w:p>
          <w:p w:rsidR="001E1BDB" w:rsidRPr="00D661B4" w:rsidRDefault="001E1BDB" w:rsidP="001E1B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E1BDB" w:rsidRPr="00D661B4" w:rsidRDefault="001E1BDB" w:rsidP="002A6FB7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lastRenderedPageBreak/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Day, R. A. (2005).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>Bilimsel Makale Nasıl Yazılır, Nasıl Yayınlanır</w:t>
            </w:r>
            <w:proofErr w:type="gramStart"/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>?.</w:t>
            </w:r>
            <w:proofErr w:type="gramEnd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Ankara: Tübitak Yayınları. 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Dora, S. (2003). </w:t>
            </w:r>
            <w:proofErr w:type="gramStart"/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Büyüyen Fotoğraf –Küçülen Sosyoloji. </w:t>
            </w:r>
            <w:proofErr w:type="gramEnd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İstanbul: Babil Yayınları.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Georges, A. R. &amp; Jones, O. M. (1980).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>People studying People.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Berkeley: Universiyt of California Press. 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Kağıtçıbaşı, Ç. (2001).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>Yeni İnsan ve İnsanlar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Krueger, R. A. (1998).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Analyzing and Reporting Focus Groups Results. 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Sage Publications. 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Kümmetoğlu, B. (2005).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Sosyolojide ve Antropolojide Niteliksel Yöntem ve Araştırma. </w:t>
            </w:r>
            <w:proofErr w:type="gramStart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İstanbul: Bağlam Yayıncılık. </w:t>
            </w:r>
            <w:proofErr w:type="gramEnd"/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Morgan, D. L. (1996).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>Focus Groups as Qualitative Research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. Qualitative Research Methods Series 16. Sage University Paper. 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 Sekeran, U. &amp; Bougie, R. (2011). Research methods for business: A skill building approach. (5th.ed.), John Wiley &amp; Sons, Inc. (ISBN: 978-0-470-74479-6)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Spradley, J. P. (1980)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>Participant Observation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Thompson, P. (2000). </w:t>
            </w:r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Voice of the Past. </w:t>
            </w: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Oxford University Press. Third Edition, (384 p). </w:t>
            </w: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 xml:space="preserve">Wynn, M. C. &amp; Wiggins, W. A. (2008). </w:t>
            </w:r>
            <w:proofErr w:type="gramStart"/>
            <w:r w:rsidRPr="00D66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Yanlış Yönde Kuantum Sıçramaları. </w:t>
            </w:r>
            <w:proofErr w:type="gramEnd"/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Ankara: Tübitak.</w:t>
            </w:r>
          </w:p>
          <w:p w:rsidR="00D17999" w:rsidRPr="00D661B4" w:rsidRDefault="00D17999" w:rsidP="00D17999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D17999" w:rsidRPr="00D661B4" w:rsidRDefault="00D17999" w:rsidP="00D17999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704BDA" w:rsidRPr="00D661B4" w:rsidRDefault="00704BDA" w:rsidP="008621BC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8621BC" w:rsidRPr="00D661B4" w:rsidRDefault="008621BC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7088"/>
      </w:tblGrid>
      <w:tr w:rsidR="00660279" w:rsidRPr="00D661B4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MATERYAL PAYLAŞIMI </w:t>
            </w:r>
          </w:p>
        </w:tc>
      </w:tr>
      <w:tr w:rsidR="00660279" w:rsidRPr="00D661B4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D661B4" w:rsidRDefault="001E1BD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</w:t>
            </w:r>
          </w:p>
        </w:tc>
      </w:tr>
      <w:tr w:rsidR="00660279" w:rsidRPr="00D661B4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D661B4" w:rsidRDefault="001E1BD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sz w:val="18"/>
                <w:szCs w:val="18"/>
              </w:rPr>
              <w:t>Araştırma Taslağı ve Akademik Makale</w:t>
            </w:r>
          </w:p>
        </w:tc>
      </w:tr>
      <w:tr w:rsidR="00660279" w:rsidRPr="00D661B4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1E1BDB">
            <w:pPr>
              <w:pStyle w:val="ListParagraph"/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  <w:gridCol w:w="709"/>
        <w:gridCol w:w="2159"/>
      </w:tblGrid>
      <w:tr w:rsidR="00660279" w:rsidRPr="00D661B4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DEĞERLENDİRME SİSTEMİ</w:t>
            </w:r>
          </w:p>
        </w:tc>
      </w:tr>
      <w:tr w:rsidR="00660279" w:rsidRPr="00D661B4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8621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KATKI YÜZDESİ</w:t>
            </w:r>
          </w:p>
        </w:tc>
      </w:tr>
      <w:tr w:rsidR="00660279" w:rsidRPr="00D661B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1E1BDB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-</w:t>
            </w:r>
          </w:p>
        </w:tc>
      </w:tr>
      <w:tr w:rsidR="002A6FB7" w:rsidRPr="00D661B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D661B4" w:rsidRDefault="00704BD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D661B4" w:rsidRDefault="002A6FB7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D661B4" w:rsidRDefault="001E1BDB" w:rsidP="001E1B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100</w:t>
            </w:r>
          </w:p>
        </w:tc>
      </w:tr>
      <w:tr w:rsidR="00660279" w:rsidRPr="00D661B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Cs/>
                <w:color w:val="444444"/>
                <w:sz w:val="18"/>
                <w:szCs w:val="18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1E1BDB" w:rsidP="001E1B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100</w:t>
            </w:r>
          </w:p>
        </w:tc>
      </w:tr>
      <w:tr w:rsidR="00660279" w:rsidRPr="00D661B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D661B4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AA2E9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Temel Mesleki Dersler</w:t>
            </w:r>
          </w:p>
        </w:tc>
      </w:tr>
    </w:tbl>
    <w:p w:rsidR="00660279" w:rsidRPr="00D661B4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6875"/>
        <w:gridCol w:w="427"/>
        <w:gridCol w:w="531"/>
        <w:gridCol w:w="512"/>
        <w:gridCol w:w="529"/>
        <w:gridCol w:w="1410"/>
      </w:tblGrid>
      <w:tr w:rsidR="008621BC" w:rsidRPr="00D661B4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DERSİN PROGRAM ÇIKTILARINA KATKISI</w:t>
            </w:r>
          </w:p>
        </w:tc>
      </w:tr>
      <w:tr w:rsidR="008621BC" w:rsidRPr="00D661B4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Katkı Düzeyi</w:t>
            </w:r>
          </w:p>
        </w:tc>
      </w:tr>
      <w:tr w:rsidR="008621BC" w:rsidRPr="00D661B4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D661B4" w:rsidRDefault="008621BC" w:rsidP="002F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D661B4" w:rsidRDefault="008621BC" w:rsidP="002F4AB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5</w:t>
            </w:r>
          </w:p>
        </w:tc>
      </w:tr>
      <w:tr w:rsidR="008621BC" w:rsidRPr="00D661B4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line="27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704BDA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gramStart"/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  <w:proofErr w:type="gramEnd"/>
          </w:p>
        </w:tc>
      </w:tr>
      <w:tr w:rsidR="008621BC" w:rsidRPr="00D661B4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1A6CB2" w:rsidP="002F4ABE">
            <w:pPr>
              <w:spacing w:line="27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Bütünleşik pazarlama iletişimi yönetimi yoğunlaşma alanında </w:t>
            </w:r>
            <w:r w:rsidR="008621BC" w:rsidRPr="00D661B4">
              <w:rPr>
                <w:rFonts w:ascii="Verdana" w:hAnsi="Verdana" w:cs="Times New Roman"/>
                <w:sz w:val="18"/>
                <w:szCs w:val="18"/>
              </w:rPr>
              <w:t xml:space="preserve">veri toplama, </w:t>
            </w:r>
            <w:proofErr w:type="gramStart"/>
            <w:r w:rsidR="008621BC" w:rsidRPr="00D661B4">
              <w:rPr>
                <w:rFonts w:ascii="Verdana" w:hAnsi="Verdana" w:cs="Times New Roman"/>
                <w:sz w:val="18"/>
                <w:szCs w:val="18"/>
              </w:rPr>
              <w:t>literatür</w:t>
            </w:r>
            <w:proofErr w:type="gramEnd"/>
            <w:r w:rsidR="008621BC" w:rsidRPr="00D661B4">
              <w:rPr>
                <w:rFonts w:ascii="Verdana" w:hAnsi="Verdana" w:cs="Times New Roman"/>
                <w:sz w:val="18"/>
                <w:szCs w:val="18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704BDA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D661B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line="27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704BDA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D661B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line="27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D661B4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D661B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line="27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224419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8621BC" w:rsidRPr="00D661B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line="27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D661B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704BDA" w:rsidP="002F4ABE">
            <w:pPr>
              <w:spacing w:line="27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224419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8621BC" w:rsidRPr="00D661B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line="27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661B4">
              <w:rPr>
                <w:rFonts w:ascii="Verdana" w:hAnsi="Verdana" w:cs="Times New Roman"/>
                <w:sz w:val="18"/>
                <w:szCs w:val="18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704BDA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D661B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1A6CB2" w:rsidP="00EC018F">
            <w:pPr>
              <w:spacing w:line="270" w:lineRule="atLeas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Bütünleşik pazarlama iletişiminin </w:t>
            </w:r>
            <w:r w:rsidR="00704BDA" w:rsidRPr="00D661B4">
              <w:rPr>
                <w:rFonts w:ascii="Verdana" w:hAnsi="Verdana" w:cs="Times New Roman"/>
                <w:sz w:val="18"/>
                <w:szCs w:val="18"/>
              </w:rPr>
              <w:t xml:space="preserve">teorik ve pratik açıdan anlam ve öneminin </w:t>
            </w:r>
            <w:r w:rsidR="00E25CA1" w:rsidRPr="00D661B4">
              <w:rPr>
                <w:rFonts w:ascii="Verdana" w:hAnsi="Verdana" w:cs="Times New Roman"/>
                <w:sz w:val="18"/>
                <w:szCs w:val="18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8621BC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D661B4" w:rsidRDefault="00704BDA" w:rsidP="002F4AB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x</w:t>
            </w:r>
          </w:p>
        </w:tc>
      </w:tr>
    </w:tbl>
    <w:p w:rsidR="00F85818" w:rsidRPr="00D661B4" w:rsidRDefault="00F85818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8761B3" w:rsidRPr="00D661B4" w:rsidRDefault="008761B3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971"/>
        <w:gridCol w:w="779"/>
        <w:gridCol w:w="1337"/>
      </w:tblGrid>
      <w:tr w:rsidR="00660279" w:rsidRPr="00D661B4" w:rsidTr="007B7730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AKTS / İŞ YÜKÜ TABLOSU</w:t>
            </w:r>
          </w:p>
        </w:tc>
      </w:tr>
      <w:tr w:rsidR="00660279" w:rsidRPr="00D661B4" w:rsidTr="007B7730">
        <w:trPr>
          <w:trHeight w:val="450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Etkinlik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SAYISI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Süresi</w:t>
            </w: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br/>
              <w:t>(Saat)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D661B4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Toplam</w:t>
            </w: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br/>
              <w:t>İş Yükü</w:t>
            </w: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br/>
              <w:t>(Saat)</w:t>
            </w:r>
          </w:p>
        </w:tc>
      </w:tr>
      <w:tr w:rsidR="002D3FD3" w:rsidRPr="00D661B4" w:rsidTr="007B7730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Ders Süresi (Sınav haftası </w:t>
            </w:r>
            <w:proofErr w:type="gramStart"/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dahildir</w:t>
            </w:r>
            <w:proofErr w:type="gramEnd"/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: 16x toplam ders saati)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D661B4" w:rsidP="00B966B5">
            <w:pPr>
              <w:spacing w:after="0" w:line="240" w:lineRule="atLeast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48</w:t>
            </w:r>
          </w:p>
        </w:tc>
      </w:tr>
      <w:tr w:rsidR="002D3FD3" w:rsidRPr="00D661B4" w:rsidTr="007B7730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Sınıf Dışı Ders Çalışma Süresi(Ön çalışma, pekiştirme)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128</w:t>
            </w:r>
          </w:p>
        </w:tc>
      </w:tr>
      <w:tr w:rsidR="002D3FD3" w:rsidRPr="00D661B4" w:rsidTr="007B7730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D661B4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Ödev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30</w:t>
            </w:r>
          </w:p>
        </w:tc>
      </w:tr>
      <w:tr w:rsidR="002D3FD3" w:rsidRPr="00D661B4" w:rsidTr="007B7730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Toplam İş Yükü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206</w:t>
            </w:r>
          </w:p>
        </w:tc>
      </w:tr>
      <w:tr w:rsidR="002D3FD3" w:rsidRPr="00D661B4" w:rsidTr="007B7730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Toplam İş Yükü / 25 (s)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D661B4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44444"/>
                <w:sz w:val="18"/>
                <w:szCs w:val="18"/>
              </w:rPr>
              <w:t>8,24</w:t>
            </w:r>
          </w:p>
        </w:tc>
      </w:tr>
      <w:tr w:rsidR="002D3FD3" w:rsidRPr="00D661B4" w:rsidTr="007B7730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</w:rPr>
              <w:t>Dersin AKTS Kredisi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D661B4" w:rsidRDefault="00704BDA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444444"/>
                <w:sz w:val="18"/>
                <w:szCs w:val="18"/>
              </w:rPr>
            </w:pPr>
            <w:r w:rsidRPr="00D661B4">
              <w:rPr>
                <w:rFonts w:ascii="Verdana" w:eastAsia="Times New Roman" w:hAnsi="Verdana"/>
                <w:color w:val="444444"/>
                <w:sz w:val="18"/>
                <w:szCs w:val="18"/>
              </w:rPr>
              <w:t>8</w:t>
            </w:r>
          </w:p>
        </w:tc>
      </w:tr>
    </w:tbl>
    <w:p w:rsidR="00814D5D" w:rsidRPr="00D661B4" w:rsidRDefault="00814D5D" w:rsidP="00F85818">
      <w:pPr>
        <w:rPr>
          <w:rFonts w:ascii="Verdana" w:hAnsi="Verdana" w:cs="Times New Roman"/>
          <w:sz w:val="18"/>
          <w:szCs w:val="18"/>
        </w:rPr>
      </w:pPr>
    </w:p>
    <w:sectPr w:rsidR="00814D5D" w:rsidRPr="00D661B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CF5"/>
    <w:multiLevelType w:val="hybridMultilevel"/>
    <w:tmpl w:val="863AEF7E"/>
    <w:lvl w:ilvl="0" w:tplc="40962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5E0C"/>
    <w:multiLevelType w:val="hybridMultilevel"/>
    <w:tmpl w:val="0980E0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104C4D"/>
    <w:rsid w:val="001A6CB2"/>
    <w:rsid w:val="001E1BDB"/>
    <w:rsid w:val="00215474"/>
    <w:rsid w:val="00224419"/>
    <w:rsid w:val="002A6FB7"/>
    <w:rsid w:val="002B4E7A"/>
    <w:rsid w:val="002D3FD3"/>
    <w:rsid w:val="00307B9D"/>
    <w:rsid w:val="00376ED8"/>
    <w:rsid w:val="00490150"/>
    <w:rsid w:val="004D58EB"/>
    <w:rsid w:val="00507889"/>
    <w:rsid w:val="0053099E"/>
    <w:rsid w:val="00541B81"/>
    <w:rsid w:val="005859E3"/>
    <w:rsid w:val="0059565F"/>
    <w:rsid w:val="00660279"/>
    <w:rsid w:val="0069328A"/>
    <w:rsid w:val="006B463C"/>
    <w:rsid w:val="006F0F51"/>
    <w:rsid w:val="00703F9A"/>
    <w:rsid w:val="00704BDA"/>
    <w:rsid w:val="00706453"/>
    <w:rsid w:val="007B7730"/>
    <w:rsid w:val="00814D5D"/>
    <w:rsid w:val="008305B2"/>
    <w:rsid w:val="00860573"/>
    <w:rsid w:val="008621BC"/>
    <w:rsid w:val="008761B3"/>
    <w:rsid w:val="008F7514"/>
    <w:rsid w:val="00A46DEC"/>
    <w:rsid w:val="00A61A3A"/>
    <w:rsid w:val="00AA2E93"/>
    <w:rsid w:val="00B51DED"/>
    <w:rsid w:val="00B937F7"/>
    <w:rsid w:val="00B966B5"/>
    <w:rsid w:val="00BF6AC5"/>
    <w:rsid w:val="00CA7DEE"/>
    <w:rsid w:val="00CC1930"/>
    <w:rsid w:val="00D17999"/>
    <w:rsid w:val="00D661B4"/>
    <w:rsid w:val="00DF0C63"/>
    <w:rsid w:val="00E25CA1"/>
    <w:rsid w:val="00EC018F"/>
    <w:rsid w:val="00F153B3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B4EE0-9476-4F4F-AFBE-CBF1B2FF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Ege Simge Demirel</cp:lastModifiedBy>
  <cp:revision>2</cp:revision>
  <cp:lastPrinted>2017-01-26T06:47:00Z</cp:lastPrinted>
  <dcterms:created xsi:type="dcterms:W3CDTF">2018-05-03T12:25:00Z</dcterms:created>
  <dcterms:modified xsi:type="dcterms:W3CDTF">2018-05-03T12:25:00Z</dcterms:modified>
</cp:coreProperties>
</file>